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C3" w:rsidRPr="0081464D" w:rsidRDefault="002D37C3" w:rsidP="002D37C3">
      <w:pPr>
        <w:jc w:val="center"/>
        <w:rPr>
          <w:rFonts w:ascii="Albertus Medium" w:hAnsi="Albertus Medium"/>
          <w:sz w:val="36"/>
          <w:szCs w:val="36"/>
        </w:rPr>
      </w:pPr>
      <w:r>
        <w:rPr>
          <w:rFonts w:ascii="Albertus Medium" w:hAnsi="Albertus Medium"/>
          <w:noProof/>
          <w:sz w:val="36"/>
          <w:szCs w:val="36"/>
        </w:rPr>
        <w:drawing>
          <wp:anchor distT="0" distB="0" distL="114300" distR="114300" simplePos="0" relativeHeight="251659264" behindDoc="0" locked="0" layoutInCell="1" allowOverlap="1">
            <wp:simplePos x="0" y="0"/>
            <wp:positionH relativeFrom="column">
              <wp:posOffset>-565150</wp:posOffset>
            </wp:positionH>
            <wp:positionV relativeFrom="paragraph">
              <wp:posOffset>-564515</wp:posOffset>
            </wp:positionV>
            <wp:extent cx="846455" cy="1040765"/>
            <wp:effectExtent l="19050" t="0" r="0" b="0"/>
            <wp:wrapSquare wrapText="bothSides"/>
            <wp:docPr id="1" name="Picture 1" descr="D:\downloads\CE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CEPO_Logo.PNG"/>
                    <pic:cNvPicPr>
                      <a:picLocks noChangeAspect="1" noChangeArrowheads="1"/>
                    </pic:cNvPicPr>
                  </pic:nvPicPr>
                  <pic:blipFill>
                    <a:blip r:embed="rId7"/>
                    <a:srcRect l="14103" t="7003" r="11795" b="12325"/>
                    <a:stretch>
                      <a:fillRect/>
                    </a:stretch>
                  </pic:blipFill>
                  <pic:spPr bwMode="auto">
                    <a:xfrm>
                      <a:off x="0" y="0"/>
                      <a:ext cx="846455" cy="1040765"/>
                    </a:xfrm>
                    <a:prstGeom prst="rect">
                      <a:avLst/>
                    </a:prstGeom>
                    <a:noFill/>
                    <a:ln w="9525">
                      <a:noFill/>
                      <a:miter lim="800000"/>
                      <a:headEnd/>
                      <a:tailEnd/>
                    </a:ln>
                  </pic:spPr>
                </pic:pic>
              </a:graphicData>
            </a:graphic>
          </wp:anchor>
        </w:drawing>
      </w:r>
      <w:r>
        <w:rPr>
          <w:rFonts w:ascii="Albertus Medium" w:hAnsi="Albertus Medium"/>
          <w:noProof/>
          <w:sz w:val="36"/>
          <w:szCs w:val="36"/>
        </w:rPr>
        <w:drawing>
          <wp:anchor distT="0" distB="0" distL="114300" distR="114300" simplePos="0" relativeHeight="251660288" behindDoc="0" locked="0" layoutInCell="1" allowOverlap="1">
            <wp:simplePos x="0" y="0"/>
            <wp:positionH relativeFrom="column">
              <wp:posOffset>7936865</wp:posOffset>
            </wp:positionH>
            <wp:positionV relativeFrom="paragraph">
              <wp:posOffset>-564515</wp:posOffset>
            </wp:positionV>
            <wp:extent cx="848995" cy="1040765"/>
            <wp:effectExtent l="19050" t="0" r="8255" b="0"/>
            <wp:wrapSquare wrapText="bothSides"/>
            <wp:docPr id="2" name="Picture 1" descr="D:\downloads\CE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CEPO_Logo.PNG"/>
                    <pic:cNvPicPr>
                      <a:picLocks noChangeAspect="1" noChangeArrowheads="1"/>
                    </pic:cNvPicPr>
                  </pic:nvPicPr>
                  <pic:blipFill>
                    <a:blip r:embed="rId7"/>
                    <a:srcRect l="14103" t="7003" r="11795" b="12325"/>
                    <a:stretch>
                      <a:fillRect/>
                    </a:stretch>
                  </pic:blipFill>
                  <pic:spPr bwMode="auto">
                    <a:xfrm>
                      <a:off x="0" y="0"/>
                      <a:ext cx="848995" cy="1040765"/>
                    </a:xfrm>
                    <a:prstGeom prst="rect">
                      <a:avLst/>
                    </a:prstGeom>
                    <a:noFill/>
                    <a:ln w="9525">
                      <a:noFill/>
                      <a:miter lim="800000"/>
                      <a:headEnd/>
                      <a:tailEnd/>
                    </a:ln>
                  </pic:spPr>
                </pic:pic>
              </a:graphicData>
            </a:graphic>
          </wp:anchor>
        </w:drawing>
      </w:r>
      <w:r w:rsidRPr="0081464D">
        <w:rPr>
          <w:rFonts w:ascii="Albertus Medium" w:hAnsi="Albertus Medium"/>
          <w:sz w:val="36"/>
          <w:szCs w:val="36"/>
        </w:rPr>
        <w:t>COMMUNITY EMPOWERMENT FOR PROGRESS ORGANIZATION</w:t>
      </w:r>
    </w:p>
    <w:p w:rsidR="002D37C3" w:rsidRPr="0081464D" w:rsidRDefault="002D37C3" w:rsidP="002D37C3">
      <w:pPr>
        <w:jc w:val="center"/>
        <w:rPr>
          <w:rFonts w:ascii="Albertus Medium" w:hAnsi="Albertus Medium"/>
          <w:sz w:val="40"/>
          <w:szCs w:val="40"/>
        </w:rPr>
      </w:pPr>
      <w:r w:rsidRPr="0081464D">
        <w:rPr>
          <w:rFonts w:ascii="Albertus Medium" w:hAnsi="Albertus Medium"/>
          <w:sz w:val="40"/>
          <w:szCs w:val="40"/>
        </w:rPr>
        <w:t>CEPO</w:t>
      </w:r>
    </w:p>
    <w:p w:rsidR="002D37C3" w:rsidRPr="0081464D" w:rsidRDefault="002D37C3" w:rsidP="002D37C3">
      <w:pPr>
        <w:jc w:val="center"/>
        <w:rPr>
          <w:rFonts w:ascii="Albertus Medium" w:hAnsi="Albertus Medium"/>
          <w:sz w:val="40"/>
          <w:szCs w:val="40"/>
        </w:rPr>
      </w:pPr>
    </w:p>
    <w:p w:rsidR="002D37C3" w:rsidRDefault="002D37C3" w:rsidP="002D37C3">
      <w:pPr>
        <w:jc w:val="center"/>
        <w:rPr>
          <w:rFonts w:ascii="Albertus Medium" w:hAnsi="Albertus Medium"/>
          <w:sz w:val="32"/>
          <w:szCs w:val="32"/>
        </w:rPr>
      </w:pPr>
      <w:r w:rsidRPr="0081464D">
        <w:rPr>
          <w:rFonts w:ascii="Albertus Medium" w:hAnsi="Albertus Medium"/>
          <w:sz w:val="32"/>
          <w:szCs w:val="32"/>
        </w:rPr>
        <w:t>SOUTH SUDAN PEACE AGREEMENT, 26</w:t>
      </w:r>
      <w:r w:rsidRPr="0081464D">
        <w:rPr>
          <w:rFonts w:ascii="Albertus Medium" w:hAnsi="Albertus Medium"/>
          <w:sz w:val="32"/>
          <w:szCs w:val="32"/>
          <w:vertAlign w:val="superscript"/>
        </w:rPr>
        <w:t>TH</w:t>
      </w:r>
      <w:r w:rsidRPr="0081464D">
        <w:rPr>
          <w:rFonts w:ascii="Albertus Medium" w:hAnsi="Albertus Medium"/>
          <w:sz w:val="32"/>
          <w:szCs w:val="32"/>
        </w:rPr>
        <w:t xml:space="preserve"> AUGUEST</w:t>
      </w:r>
      <w:r>
        <w:rPr>
          <w:rFonts w:ascii="Albertus Medium" w:hAnsi="Albertus Medium"/>
          <w:sz w:val="32"/>
          <w:szCs w:val="32"/>
        </w:rPr>
        <w:t>-26</w:t>
      </w:r>
      <w:r w:rsidRPr="00A5711F">
        <w:rPr>
          <w:rFonts w:ascii="Albertus Medium" w:hAnsi="Albertus Medium"/>
          <w:sz w:val="32"/>
          <w:szCs w:val="32"/>
          <w:vertAlign w:val="superscript"/>
        </w:rPr>
        <w:t>th</w:t>
      </w:r>
      <w:r>
        <w:rPr>
          <w:rFonts w:ascii="Albertus Medium" w:hAnsi="Albertus Medium"/>
          <w:sz w:val="32"/>
          <w:szCs w:val="32"/>
        </w:rPr>
        <w:t xml:space="preserve"> Nov.</w:t>
      </w:r>
      <w:r w:rsidRPr="0081464D">
        <w:rPr>
          <w:rFonts w:ascii="Albertus Medium" w:hAnsi="Albertus Medium"/>
          <w:sz w:val="32"/>
          <w:szCs w:val="32"/>
        </w:rPr>
        <w:t xml:space="preserve"> 2015 </w:t>
      </w:r>
    </w:p>
    <w:p w:rsidR="002D37C3" w:rsidRDefault="002D37C3" w:rsidP="002D37C3">
      <w:pPr>
        <w:jc w:val="center"/>
        <w:rPr>
          <w:rFonts w:ascii="Albertus Medium" w:hAnsi="Albertus Medium"/>
          <w:sz w:val="32"/>
          <w:szCs w:val="32"/>
        </w:rPr>
      </w:pPr>
    </w:p>
    <w:p w:rsidR="002D37C3" w:rsidRPr="00A74101" w:rsidRDefault="002D37C3" w:rsidP="002D37C3">
      <w:pPr>
        <w:jc w:val="center"/>
        <w:rPr>
          <w:rFonts w:ascii="Albertus Medium" w:hAnsi="Albertus Medium"/>
          <w:b/>
          <w:i/>
          <w:color w:val="E36C0A" w:themeColor="accent6" w:themeShade="BF"/>
          <w:sz w:val="32"/>
          <w:szCs w:val="32"/>
          <w:u w:val="single"/>
        </w:rPr>
      </w:pPr>
      <w:r w:rsidRPr="00A74101">
        <w:rPr>
          <w:rFonts w:ascii="Albertus Medium" w:hAnsi="Albertus Medium"/>
          <w:b/>
          <w:i/>
          <w:color w:val="E36C0A" w:themeColor="accent6" w:themeShade="BF"/>
          <w:sz w:val="32"/>
          <w:szCs w:val="32"/>
          <w:u w:val="single"/>
        </w:rPr>
        <w:t xml:space="preserve">PRE-TRANSITION PERIOD (3 MONTHS OR 90 DAYS) </w:t>
      </w:r>
    </w:p>
    <w:p w:rsidR="002D37C3" w:rsidRPr="0081464D" w:rsidRDefault="002D37C3" w:rsidP="002D37C3">
      <w:pPr>
        <w:jc w:val="center"/>
        <w:rPr>
          <w:rFonts w:ascii="Albertus Medium" w:hAnsi="Albertus Medium"/>
          <w:sz w:val="32"/>
          <w:szCs w:val="32"/>
        </w:rPr>
      </w:pPr>
    </w:p>
    <w:p w:rsidR="002C5907" w:rsidRDefault="002C5907" w:rsidP="002D37C3">
      <w:pPr>
        <w:jc w:val="center"/>
        <w:rPr>
          <w:rFonts w:ascii="Albertus Medium" w:hAnsi="Albertus Medium"/>
          <w:sz w:val="32"/>
          <w:szCs w:val="32"/>
        </w:rPr>
      </w:pPr>
    </w:p>
    <w:p w:rsidR="002C5907" w:rsidRDefault="002D37C3" w:rsidP="002D37C3">
      <w:pPr>
        <w:jc w:val="center"/>
        <w:rPr>
          <w:rFonts w:ascii="Albertus Medium" w:hAnsi="Albertus Medium"/>
          <w:color w:val="00B050"/>
          <w:sz w:val="32"/>
          <w:szCs w:val="32"/>
        </w:rPr>
      </w:pPr>
      <w:r>
        <w:rPr>
          <w:rFonts w:ascii="Albertus Medium" w:hAnsi="Albertus Medium"/>
          <w:color w:val="00B050"/>
          <w:sz w:val="32"/>
          <w:szCs w:val="32"/>
        </w:rPr>
        <w:t xml:space="preserve">OBSERVATION FINDINGS RESULTS </w:t>
      </w:r>
    </w:p>
    <w:p w:rsidR="002D37C3" w:rsidRPr="00A74101" w:rsidRDefault="002D37C3" w:rsidP="002D37C3">
      <w:pPr>
        <w:jc w:val="center"/>
        <w:rPr>
          <w:rFonts w:ascii="Albertus Medium" w:hAnsi="Albertus Medium"/>
          <w:color w:val="00B050"/>
          <w:sz w:val="32"/>
          <w:szCs w:val="32"/>
        </w:rPr>
      </w:pPr>
      <w:r>
        <w:rPr>
          <w:rFonts w:ascii="Albertus Medium" w:hAnsi="Albertus Medium"/>
          <w:color w:val="00B050"/>
          <w:sz w:val="32"/>
          <w:szCs w:val="32"/>
        </w:rPr>
        <w:t xml:space="preserve"> </w:t>
      </w:r>
    </w:p>
    <w:p w:rsidR="002D37C3" w:rsidRPr="00A74101" w:rsidRDefault="002C5907" w:rsidP="002D37C3">
      <w:pPr>
        <w:jc w:val="center"/>
        <w:rPr>
          <w:rFonts w:ascii="Albertus Medium" w:hAnsi="Albertus Medium"/>
          <w:color w:val="00B050"/>
          <w:sz w:val="32"/>
          <w:szCs w:val="32"/>
        </w:rPr>
      </w:pPr>
      <w:r>
        <w:rPr>
          <w:rFonts w:ascii="Albertus Medium" w:hAnsi="Albertus Medium"/>
          <w:color w:val="00B050"/>
          <w:sz w:val="32"/>
          <w:szCs w:val="32"/>
        </w:rPr>
        <w:t xml:space="preserve">SOUTH SUDAN </w:t>
      </w:r>
      <w:r w:rsidR="002D37C3" w:rsidRPr="00A74101">
        <w:rPr>
          <w:rFonts w:ascii="Albertus Medium" w:hAnsi="Albertus Medium"/>
          <w:color w:val="00B050"/>
          <w:sz w:val="32"/>
          <w:szCs w:val="32"/>
        </w:rPr>
        <w:t xml:space="preserve">PEACE AGREEMENT IMPLEMENTATION  </w:t>
      </w:r>
    </w:p>
    <w:p w:rsidR="002D37C3" w:rsidRDefault="002D37C3" w:rsidP="002D37C3">
      <w:pPr>
        <w:jc w:val="center"/>
      </w:pPr>
    </w:p>
    <w:p w:rsidR="002D37C3" w:rsidRDefault="002D37C3" w:rsidP="002D37C3">
      <w:pPr>
        <w:jc w:val="center"/>
      </w:pPr>
    </w:p>
    <w:p w:rsidR="002C5907" w:rsidRDefault="002C5907" w:rsidP="002D37C3">
      <w:pPr>
        <w:jc w:val="center"/>
      </w:pPr>
    </w:p>
    <w:p w:rsidR="002D37C3" w:rsidRDefault="002D37C3" w:rsidP="002D37C3">
      <w:pPr>
        <w:jc w:val="center"/>
      </w:pPr>
    </w:p>
    <w:tbl>
      <w:tblPr>
        <w:tblStyle w:val="TableGrid"/>
        <w:tblW w:w="14490" w:type="dxa"/>
        <w:tblInd w:w="-792" w:type="dxa"/>
        <w:tblLayout w:type="fixed"/>
        <w:tblLook w:val="04A0"/>
      </w:tblPr>
      <w:tblGrid>
        <w:gridCol w:w="4590"/>
        <w:gridCol w:w="2790"/>
        <w:gridCol w:w="1800"/>
        <w:gridCol w:w="2160"/>
        <w:gridCol w:w="3150"/>
      </w:tblGrid>
      <w:tr w:rsidR="00ED1166" w:rsidRPr="00FE0F27" w:rsidTr="00A415D3">
        <w:tc>
          <w:tcPr>
            <w:tcW w:w="4590" w:type="dxa"/>
            <w:vMerge w:val="restart"/>
          </w:tcPr>
          <w:p w:rsidR="002D37C3" w:rsidRPr="00FE0F27" w:rsidRDefault="002D37C3" w:rsidP="00382DC9">
            <w:pPr>
              <w:jc w:val="both"/>
              <w:rPr>
                <w:b/>
                <w:sz w:val="20"/>
                <w:szCs w:val="20"/>
              </w:rPr>
            </w:pPr>
            <w:r w:rsidRPr="00FE0F27">
              <w:rPr>
                <w:b/>
                <w:sz w:val="20"/>
                <w:szCs w:val="20"/>
              </w:rPr>
              <w:lastRenderedPageBreak/>
              <w:t xml:space="preserve">Action to be undertaken by the parties to the agreement </w:t>
            </w:r>
          </w:p>
        </w:tc>
        <w:tc>
          <w:tcPr>
            <w:tcW w:w="2790" w:type="dxa"/>
            <w:vMerge w:val="restart"/>
          </w:tcPr>
          <w:p w:rsidR="002D37C3" w:rsidRPr="00FE0F27" w:rsidRDefault="002D37C3" w:rsidP="006034BE">
            <w:pPr>
              <w:jc w:val="center"/>
              <w:rPr>
                <w:b/>
                <w:sz w:val="20"/>
                <w:szCs w:val="20"/>
              </w:rPr>
            </w:pPr>
            <w:r w:rsidRPr="00FE0F27">
              <w:rPr>
                <w:b/>
                <w:sz w:val="20"/>
                <w:szCs w:val="20"/>
              </w:rPr>
              <w:t xml:space="preserve">Responsible </w:t>
            </w:r>
            <w:r w:rsidR="006034BE" w:rsidRPr="00FE0F27">
              <w:rPr>
                <w:b/>
                <w:sz w:val="20"/>
                <w:szCs w:val="20"/>
              </w:rPr>
              <w:t>Entities</w:t>
            </w:r>
          </w:p>
        </w:tc>
        <w:tc>
          <w:tcPr>
            <w:tcW w:w="1800" w:type="dxa"/>
            <w:vMerge w:val="restart"/>
          </w:tcPr>
          <w:p w:rsidR="002D37C3" w:rsidRPr="00FE0F27" w:rsidRDefault="002D37C3" w:rsidP="006034BE">
            <w:pPr>
              <w:rPr>
                <w:b/>
                <w:sz w:val="20"/>
                <w:szCs w:val="20"/>
              </w:rPr>
            </w:pPr>
            <w:r w:rsidRPr="00FE0F27">
              <w:rPr>
                <w:b/>
                <w:sz w:val="20"/>
                <w:szCs w:val="20"/>
              </w:rPr>
              <w:t xml:space="preserve">Statues of Implementation </w:t>
            </w:r>
          </w:p>
        </w:tc>
        <w:tc>
          <w:tcPr>
            <w:tcW w:w="5310" w:type="dxa"/>
            <w:gridSpan w:val="2"/>
          </w:tcPr>
          <w:p w:rsidR="002D37C3" w:rsidRPr="00FE0F27" w:rsidRDefault="002D37C3" w:rsidP="00FA26B5">
            <w:pPr>
              <w:jc w:val="center"/>
              <w:rPr>
                <w:b/>
                <w:sz w:val="20"/>
                <w:szCs w:val="20"/>
              </w:rPr>
            </w:pPr>
            <w:r w:rsidRPr="00FE0F27">
              <w:rPr>
                <w:b/>
                <w:sz w:val="20"/>
                <w:szCs w:val="20"/>
              </w:rPr>
              <w:t>Pre-Transition Period (</w:t>
            </w:r>
            <w:r w:rsidR="00FA26B5" w:rsidRPr="00FE0F27">
              <w:rPr>
                <w:b/>
                <w:sz w:val="20"/>
                <w:szCs w:val="20"/>
              </w:rPr>
              <w:t>26/8-26/11/2015</w:t>
            </w:r>
            <w:r w:rsidRPr="00FE0F27">
              <w:rPr>
                <w:b/>
                <w:sz w:val="20"/>
                <w:szCs w:val="20"/>
              </w:rPr>
              <w:t xml:space="preserve">) </w:t>
            </w:r>
          </w:p>
        </w:tc>
      </w:tr>
      <w:tr w:rsidR="00316F11" w:rsidRPr="00FE0F27" w:rsidTr="00A415D3">
        <w:trPr>
          <w:trHeight w:val="498"/>
        </w:trPr>
        <w:tc>
          <w:tcPr>
            <w:tcW w:w="4590" w:type="dxa"/>
            <w:vMerge/>
          </w:tcPr>
          <w:p w:rsidR="00316F11" w:rsidRPr="00FE0F27" w:rsidRDefault="00316F11" w:rsidP="00382DC9">
            <w:pPr>
              <w:rPr>
                <w:sz w:val="20"/>
                <w:szCs w:val="20"/>
              </w:rPr>
            </w:pPr>
          </w:p>
        </w:tc>
        <w:tc>
          <w:tcPr>
            <w:tcW w:w="2790" w:type="dxa"/>
            <w:vMerge/>
          </w:tcPr>
          <w:p w:rsidR="00316F11" w:rsidRPr="00FE0F27" w:rsidRDefault="00316F11" w:rsidP="00382DC9">
            <w:pPr>
              <w:rPr>
                <w:sz w:val="20"/>
                <w:szCs w:val="20"/>
              </w:rPr>
            </w:pPr>
          </w:p>
        </w:tc>
        <w:tc>
          <w:tcPr>
            <w:tcW w:w="1800" w:type="dxa"/>
            <w:vMerge/>
          </w:tcPr>
          <w:p w:rsidR="00316F11" w:rsidRPr="00FE0F27" w:rsidRDefault="00316F11" w:rsidP="00382DC9">
            <w:pPr>
              <w:rPr>
                <w:sz w:val="20"/>
                <w:szCs w:val="20"/>
              </w:rPr>
            </w:pPr>
          </w:p>
        </w:tc>
        <w:tc>
          <w:tcPr>
            <w:tcW w:w="2160" w:type="dxa"/>
            <w:tcBorders>
              <w:bottom w:val="single" w:sz="4" w:space="0" w:color="000000" w:themeColor="text1"/>
            </w:tcBorders>
          </w:tcPr>
          <w:p w:rsidR="00316F11" w:rsidRPr="00FE0F27" w:rsidRDefault="00574562" w:rsidP="00574562">
            <w:pPr>
              <w:jc w:val="center"/>
              <w:rPr>
                <w:sz w:val="20"/>
                <w:szCs w:val="20"/>
              </w:rPr>
            </w:pPr>
            <w:r w:rsidRPr="00FE0F27">
              <w:rPr>
                <w:b/>
                <w:sz w:val="20"/>
                <w:szCs w:val="20"/>
              </w:rPr>
              <w:t xml:space="preserve">Observation and Remarks      </w:t>
            </w:r>
            <w:r w:rsidRPr="00FE0F27">
              <w:rPr>
                <w:sz w:val="20"/>
                <w:szCs w:val="20"/>
              </w:rPr>
              <w:t xml:space="preserve"> </w:t>
            </w:r>
          </w:p>
        </w:tc>
        <w:tc>
          <w:tcPr>
            <w:tcW w:w="3150" w:type="dxa"/>
            <w:tcBorders>
              <w:bottom w:val="single" w:sz="4" w:space="0" w:color="000000" w:themeColor="text1"/>
            </w:tcBorders>
          </w:tcPr>
          <w:p w:rsidR="00316F11" w:rsidRPr="00FE0F27" w:rsidRDefault="00316F11" w:rsidP="00382DC9">
            <w:pPr>
              <w:jc w:val="center"/>
              <w:rPr>
                <w:b/>
                <w:sz w:val="20"/>
                <w:szCs w:val="20"/>
              </w:rPr>
            </w:pPr>
            <w:r w:rsidRPr="00FE0F27">
              <w:rPr>
                <w:b/>
                <w:sz w:val="20"/>
                <w:szCs w:val="20"/>
              </w:rPr>
              <w:t xml:space="preserve">Recommendations </w:t>
            </w:r>
          </w:p>
        </w:tc>
      </w:tr>
      <w:tr w:rsidR="00A83899" w:rsidRPr="00FE0F27" w:rsidTr="00A415D3">
        <w:tc>
          <w:tcPr>
            <w:tcW w:w="4590" w:type="dxa"/>
          </w:tcPr>
          <w:p w:rsidR="00A83899" w:rsidRPr="00FE0F27" w:rsidRDefault="00A83899" w:rsidP="00382DC9">
            <w:pPr>
              <w:jc w:val="both"/>
              <w:rPr>
                <w:sz w:val="20"/>
                <w:szCs w:val="20"/>
              </w:rPr>
            </w:pPr>
            <w:r w:rsidRPr="00FE0F27">
              <w:rPr>
                <w:sz w:val="20"/>
                <w:szCs w:val="20"/>
              </w:rPr>
              <w:t>Setting up of the National Constitution Amendment Committee (NCAC) to draft constitutional framework to incorporate this amendment into TCoSS (</w:t>
            </w:r>
            <w:r w:rsidRPr="00FE0F27">
              <w:rPr>
                <w:b/>
                <w:i/>
                <w:sz w:val="20"/>
                <w:szCs w:val="20"/>
                <w:highlight w:val="yellow"/>
              </w:rPr>
              <w:t>Immediately upon signing of this agreement</w:t>
            </w:r>
            <w:r w:rsidRPr="00FE0F27">
              <w:rPr>
                <w:sz w:val="20"/>
                <w:szCs w:val="20"/>
              </w:rPr>
              <w:t>)</w:t>
            </w:r>
          </w:p>
        </w:tc>
        <w:tc>
          <w:tcPr>
            <w:tcW w:w="2790" w:type="dxa"/>
          </w:tcPr>
          <w:p w:rsidR="00A83899" w:rsidRPr="00FE0F27" w:rsidRDefault="00A83899" w:rsidP="00382DC9">
            <w:pPr>
              <w:rPr>
                <w:sz w:val="20"/>
                <w:szCs w:val="20"/>
              </w:rPr>
            </w:pPr>
            <w:r w:rsidRPr="00FE0F27">
              <w:rPr>
                <w:sz w:val="20"/>
                <w:szCs w:val="20"/>
              </w:rPr>
              <w:t>IGAD,GRSS,</w:t>
            </w:r>
          </w:p>
          <w:p w:rsidR="00A83899" w:rsidRPr="00FE0F27" w:rsidRDefault="00A83899" w:rsidP="00382DC9">
            <w:pPr>
              <w:rPr>
                <w:sz w:val="20"/>
                <w:szCs w:val="20"/>
              </w:rPr>
            </w:pPr>
            <w:r w:rsidRPr="00FE0F27">
              <w:rPr>
                <w:sz w:val="20"/>
                <w:szCs w:val="20"/>
              </w:rPr>
              <w:t>SPLM_IO</w:t>
            </w:r>
          </w:p>
          <w:p w:rsidR="00A83899" w:rsidRPr="00FE0F27" w:rsidRDefault="00A83899" w:rsidP="00382DC9">
            <w:pPr>
              <w:rPr>
                <w:sz w:val="20"/>
                <w:szCs w:val="20"/>
              </w:rPr>
            </w:pPr>
            <w:r w:rsidRPr="00FE0F27">
              <w:rPr>
                <w:sz w:val="20"/>
                <w:szCs w:val="20"/>
              </w:rPr>
              <w:t>Stakeholders</w:t>
            </w:r>
          </w:p>
        </w:tc>
        <w:tc>
          <w:tcPr>
            <w:tcW w:w="1800" w:type="dxa"/>
          </w:tcPr>
          <w:p w:rsidR="00A83899" w:rsidRPr="00FE0F27" w:rsidRDefault="00A83899" w:rsidP="00382DC9">
            <w:pPr>
              <w:rPr>
                <w:b/>
                <w:color w:val="FF0000"/>
                <w:sz w:val="20"/>
                <w:szCs w:val="20"/>
              </w:rPr>
            </w:pPr>
            <w:r w:rsidRPr="00FE0F27">
              <w:rPr>
                <w:b/>
                <w:color w:val="FF0000"/>
                <w:sz w:val="20"/>
                <w:szCs w:val="20"/>
              </w:rPr>
              <w:t xml:space="preserve">Not Accomplish </w:t>
            </w:r>
          </w:p>
          <w:p w:rsidR="00A83899" w:rsidRPr="00FE0F27" w:rsidRDefault="00A83899" w:rsidP="00FA26B5">
            <w:pPr>
              <w:rPr>
                <w:sz w:val="20"/>
                <w:szCs w:val="20"/>
              </w:rPr>
            </w:pPr>
          </w:p>
        </w:tc>
        <w:tc>
          <w:tcPr>
            <w:tcW w:w="2160" w:type="dxa"/>
            <w:vMerge w:val="restart"/>
            <w:shd w:val="clear" w:color="auto" w:fill="FFFFFF" w:themeFill="background1"/>
          </w:tcPr>
          <w:p w:rsidR="00A83899" w:rsidRPr="00FE0F27" w:rsidRDefault="00A83899" w:rsidP="00574562">
            <w:pPr>
              <w:jc w:val="both"/>
              <w:rPr>
                <w:sz w:val="20"/>
                <w:szCs w:val="20"/>
              </w:rPr>
            </w:pPr>
            <w:r w:rsidRPr="00FE0F27">
              <w:rPr>
                <w:sz w:val="20"/>
                <w:szCs w:val="20"/>
              </w:rPr>
              <w:t xml:space="preserve">IGAD tried to appoint the experienced Kenya Lawyer ……….. but the government objected with the reasons that Mr……. is more loyal to the SPLM-IO </w:t>
            </w:r>
          </w:p>
        </w:tc>
        <w:tc>
          <w:tcPr>
            <w:tcW w:w="3150" w:type="dxa"/>
            <w:vMerge w:val="restart"/>
            <w:shd w:val="clear" w:color="auto" w:fill="FFFFFF" w:themeFill="background1"/>
          </w:tcPr>
          <w:p w:rsidR="00A83899" w:rsidRPr="00FE0F27" w:rsidRDefault="00A83899" w:rsidP="00574562">
            <w:pPr>
              <w:pStyle w:val="ListParagraph"/>
              <w:numPr>
                <w:ilvl w:val="0"/>
                <w:numId w:val="3"/>
              </w:numPr>
              <w:jc w:val="both"/>
              <w:rPr>
                <w:sz w:val="20"/>
                <w:szCs w:val="20"/>
              </w:rPr>
            </w:pPr>
            <w:r w:rsidRPr="00FE0F27">
              <w:rPr>
                <w:sz w:val="20"/>
                <w:szCs w:val="20"/>
              </w:rPr>
              <w:t xml:space="preserve">IGAD has to take serious efforts for ensuring that NCAC is established and operationalized in order to open door for the implementation of the agreement and </w:t>
            </w:r>
          </w:p>
          <w:p w:rsidR="00A83899" w:rsidRPr="00FE0F27" w:rsidRDefault="00A83899" w:rsidP="00574562">
            <w:pPr>
              <w:pStyle w:val="ListParagraph"/>
              <w:numPr>
                <w:ilvl w:val="0"/>
                <w:numId w:val="3"/>
              </w:numPr>
              <w:jc w:val="both"/>
              <w:rPr>
                <w:sz w:val="20"/>
                <w:szCs w:val="20"/>
              </w:rPr>
            </w:pPr>
            <w:r w:rsidRPr="00FE0F27">
              <w:rPr>
                <w:sz w:val="20"/>
                <w:szCs w:val="20"/>
              </w:rPr>
              <w:t xml:space="preserve">To limited any political manipulation events in relation to the use of the constitution </w:t>
            </w:r>
          </w:p>
        </w:tc>
      </w:tr>
      <w:tr w:rsidR="00A83899" w:rsidRPr="00FE0F27" w:rsidTr="00A415D3">
        <w:tc>
          <w:tcPr>
            <w:tcW w:w="4590" w:type="dxa"/>
          </w:tcPr>
          <w:p w:rsidR="00A83899" w:rsidRPr="00FE0F27" w:rsidRDefault="00A83899" w:rsidP="00382DC9">
            <w:pPr>
              <w:jc w:val="both"/>
              <w:rPr>
                <w:sz w:val="20"/>
                <w:szCs w:val="20"/>
              </w:rPr>
            </w:pPr>
            <w:r w:rsidRPr="00FE0F27">
              <w:rPr>
                <w:sz w:val="20"/>
                <w:szCs w:val="20"/>
              </w:rPr>
              <w:t xml:space="preserve">Minister for Justice submit the draft Bill to the council of Ministers and Transitional National Assembly for adoption </w:t>
            </w:r>
            <w:r w:rsidRPr="00FE0F27">
              <w:rPr>
                <w:b/>
                <w:i/>
                <w:sz w:val="20"/>
                <w:szCs w:val="20"/>
                <w:highlight w:val="yellow"/>
              </w:rPr>
              <w:t>(within 7 days after receiving it from NCAC)</w:t>
            </w:r>
          </w:p>
        </w:tc>
        <w:tc>
          <w:tcPr>
            <w:tcW w:w="2790" w:type="dxa"/>
          </w:tcPr>
          <w:p w:rsidR="00A83899" w:rsidRPr="00FE0F27" w:rsidRDefault="00A83899" w:rsidP="00382DC9">
            <w:pPr>
              <w:rPr>
                <w:sz w:val="20"/>
                <w:szCs w:val="20"/>
              </w:rPr>
            </w:pPr>
            <w:r w:rsidRPr="00FE0F27">
              <w:rPr>
                <w:sz w:val="20"/>
                <w:szCs w:val="20"/>
              </w:rPr>
              <w:t>Minister of Justice</w:t>
            </w:r>
          </w:p>
        </w:tc>
        <w:tc>
          <w:tcPr>
            <w:tcW w:w="1800" w:type="dxa"/>
          </w:tcPr>
          <w:p w:rsidR="00A83899" w:rsidRPr="00FE0F27" w:rsidRDefault="00A83899" w:rsidP="00382DC9">
            <w:pPr>
              <w:rPr>
                <w:b/>
                <w:color w:val="FF0000"/>
                <w:sz w:val="20"/>
                <w:szCs w:val="20"/>
              </w:rPr>
            </w:pPr>
            <w:r w:rsidRPr="00FE0F27">
              <w:rPr>
                <w:b/>
                <w:color w:val="FF0000"/>
                <w:sz w:val="20"/>
                <w:szCs w:val="20"/>
              </w:rPr>
              <w:t xml:space="preserve">Not Accomplish </w:t>
            </w:r>
          </w:p>
          <w:p w:rsidR="00A83899" w:rsidRPr="00FE0F27" w:rsidRDefault="00A83899" w:rsidP="00FA26B5">
            <w:pPr>
              <w:jc w:val="both"/>
              <w:rPr>
                <w:sz w:val="20"/>
                <w:szCs w:val="20"/>
              </w:rPr>
            </w:pPr>
            <w:r w:rsidRPr="00FE0F27">
              <w:rPr>
                <w:sz w:val="20"/>
                <w:szCs w:val="20"/>
              </w:rPr>
              <w:t xml:space="preserve"> </w:t>
            </w:r>
          </w:p>
        </w:tc>
        <w:tc>
          <w:tcPr>
            <w:tcW w:w="2160" w:type="dxa"/>
            <w:vMerge/>
            <w:shd w:val="clear" w:color="auto" w:fill="FFFFFF" w:themeFill="background1"/>
          </w:tcPr>
          <w:p w:rsidR="00A83899" w:rsidRPr="00FE0F27" w:rsidRDefault="00A83899" w:rsidP="00382DC9">
            <w:pPr>
              <w:rPr>
                <w:sz w:val="20"/>
                <w:szCs w:val="20"/>
              </w:rPr>
            </w:pPr>
          </w:p>
        </w:tc>
        <w:tc>
          <w:tcPr>
            <w:tcW w:w="3150" w:type="dxa"/>
            <w:vMerge/>
            <w:shd w:val="clear" w:color="auto" w:fill="FFFFFF" w:themeFill="background1"/>
          </w:tcPr>
          <w:p w:rsidR="00A83899" w:rsidRPr="00FE0F27" w:rsidRDefault="00A83899" w:rsidP="00382DC9">
            <w:pPr>
              <w:rPr>
                <w:sz w:val="20"/>
                <w:szCs w:val="20"/>
              </w:rPr>
            </w:pPr>
          </w:p>
        </w:tc>
      </w:tr>
      <w:tr w:rsidR="00ED1166" w:rsidRPr="00FE0F27" w:rsidTr="00A415D3">
        <w:tc>
          <w:tcPr>
            <w:tcW w:w="4590" w:type="dxa"/>
          </w:tcPr>
          <w:p w:rsidR="00FA26B5" w:rsidRPr="00FE0F27" w:rsidRDefault="00FA26B5" w:rsidP="00382DC9">
            <w:pPr>
              <w:jc w:val="both"/>
              <w:rPr>
                <w:sz w:val="20"/>
                <w:szCs w:val="20"/>
              </w:rPr>
            </w:pPr>
            <w:r w:rsidRPr="00FE0F27">
              <w:rPr>
                <w:sz w:val="20"/>
                <w:szCs w:val="20"/>
              </w:rPr>
              <w:t xml:space="preserve">Elections of the Speaker </w:t>
            </w:r>
            <w:r w:rsidRPr="00FE0F27">
              <w:rPr>
                <w:b/>
                <w:i/>
                <w:sz w:val="20"/>
                <w:szCs w:val="20"/>
                <w:highlight w:val="yellow"/>
              </w:rPr>
              <w:t>( Once the expansion of the National assembly is completed )</w:t>
            </w:r>
          </w:p>
        </w:tc>
        <w:tc>
          <w:tcPr>
            <w:tcW w:w="2790" w:type="dxa"/>
          </w:tcPr>
          <w:p w:rsidR="00FA26B5" w:rsidRPr="00FE0F27" w:rsidRDefault="00FA26B5" w:rsidP="00382DC9">
            <w:pPr>
              <w:rPr>
                <w:sz w:val="20"/>
                <w:szCs w:val="20"/>
              </w:rPr>
            </w:pPr>
            <w:r w:rsidRPr="00FE0F27">
              <w:rPr>
                <w:sz w:val="20"/>
                <w:szCs w:val="20"/>
              </w:rPr>
              <w:t>Transitional National Assembly</w:t>
            </w:r>
          </w:p>
        </w:tc>
        <w:tc>
          <w:tcPr>
            <w:tcW w:w="1800" w:type="dxa"/>
          </w:tcPr>
          <w:p w:rsidR="00FA26B5" w:rsidRPr="00FE0F27" w:rsidRDefault="00FA26B5" w:rsidP="00382DC9">
            <w:pPr>
              <w:rPr>
                <w:b/>
                <w:color w:val="FF0000"/>
                <w:sz w:val="20"/>
                <w:szCs w:val="20"/>
              </w:rPr>
            </w:pPr>
            <w:r w:rsidRPr="00FE0F27">
              <w:rPr>
                <w:b/>
                <w:color w:val="FF0000"/>
                <w:sz w:val="20"/>
                <w:szCs w:val="20"/>
              </w:rPr>
              <w:t xml:space="preserve">Not </w:t>
            </w:r>
            <w:r w:rsidR="006034BE" w:rsidRPr="00FE0F27">
              <w:rPr>
                <w:b/>
                <w:color w:val="FF0000"/>
                <w:sz w:val="20"/>
                <w:szCs w:val="20"/>
              </w:rPr>
              <w:t xml:space="preserve">Accomplish </w:t>
            </w:r>
          </w:p>
          <w:p w:rsidR="00FA26B5" w:rsidRPr="00FE0F27" w:rsidRDefault="00FA26B5" w:rsidP="006034BE">
            <w:pPr>
              <w:rPr>
                <w:sz w:val="20"/>
                <w:szCs w:val="20"/>
              </w:rPr>
            </w:pPr>
          </w:p>
        </w:tc>
        <w:tc>
          <w:tcPr>
            <w:tcW w:w="2160" w:type="dxa"/>
            <w:tcBorders>
              <w:bottom w:val="single" w:sz="4" w:space="0" w:color="000000" w:themeColor="text1"/>
            </w:tcBorders>
            <w:shd w:val="clear" w:color="auto" w:fill="FFFFFF" w:themeFill="background1"/>
          </w:tcPr>
          <w:p w:rsidR="00FA26B5" w:rsidRPr="00FE0F27" w:rsidRDefault="00A83899" w:rsidP="00FA3F46">
            <w:pPr>
              <w:jc w:val="both"/>
              <w:rPr>
                <w:sz w:val="20"/>
                <w:szCs w:val="20"/>
              </w:rPr>
            </w:pPr>
            <w:r w:rsidRPr="00FE0F27">
              <w:rPr>
                <w:sz w:val="20"/>
                <w:szCs w:val="20"/>
              </w:rPr>
              <w:t>The delay in amending the amended Transitional Constitution, 2015</w:t>
            </w:r>
            <w:r w:rsidR="00FA3F46" w:rsidRPr="00FE0F27">
              <w:rPr>
                <w:sz w:val="20"/>
                <w:szCs w:val="20"/>
              </w:rPr>
              <w:t xml:space="preserve"> has made the </w:t>
            </w:r>
            <w:r w:rsidRPr="00FE0F27">
              <w:rPr>
                <w:sz w:val="20"/>
                <w:szCs w:val="20"/>
              </w:rPr>
              <w:t xml:space="preserve">expansion of the assembly is delayed. Therefore, the election of the speaker cannot be accomplish   </w:t>
            </w:r>
          </w:p>
        </w:tc>
        <w:tc>
          <w:tcPr>
            <w:tcW w:w="3150" w:type="dxa"/>
            <w:tcBorders>
              <w:bottom w:val="single" w:sz="4" w:space="0" w:color="000000" w:themeColor="text1"/>
            </w:tcBorders>
            <w:shd w:val="clear" w:color="auto" w:fill="FFFFFF" w:themeFill="background1"/>
          </w:tcPr>
          <w:p w:rsidR="00FA26B5" w:rsidRPr="00FE0F27" w:rsidRDefault="00FA3F46" w:rsidP="007B050D">
            <w:pPr>
              <w:jc w:val="both"/>
              <w:rPr>
                <w:sz w:val="20"/>
                <w:szCs w:val="20"/>
              </w:rPr>
            </w:pPr>
            <w:r w:rsidRPr="00FE0F27">
              <w:rPr>
                <w:sz w:val="20"/>
                <w:szCs w:val="20"/>
              </w:rPr>
              <w:t xml:space="preserve">IGAD role in making the NCAC functional is paramount for the speedy move for the establishment of the transitional government of national unity assembly </w:t>
            </w:r>
          </w:p>
        </w:tc>
      </w:tr>
      <w:tr w:rsidR="00ED1166" w:rsidRPr="00FE0F27" w:rsidTr="00A415D3">
        <w:tc>
          <w:tcPr>
            <w:tcW w:w="4590" w:type="dxa"/>
          </w:tcPr>
          <w:p w:rsidR="00FA26B5" w:rsidRPr="00FE0F27" w:rsidRDefault="00FA26B5" w:rsidP="00382DC9">
            <w:pPr>
              <w:jc w:val="both"/>
              <w:rPr>
                <w:sz w:val="20"/>
                <w:szCs w:val="20"/>
              </w:rPr>
            </w:pPr>
            <w:r w:rsidRPr="00FE0F27">
              <w:rPr>
                <w:sz w:val="20"/>
                <w:szCs w:val="20"/>
              </w:rPr>
              <w:t xml:space="preserve">Plan for Resettlement, Rehabilitation including programmes for relief </w:t>
            </w:r>
            <w:r w:rsidRPr="00FE0F27">
              <w:rPr>
                <w:b/>
                <w:i/>
                <w:sz w:val="20"/>
                <w:szCs w:val="20"/>
                <w:highlight w:val="yellow"/>
              </w:rPr>
              <w:t>(start immediately during the Pre-Transition period and throughout the Transition)</w:t>
            </w:r>
          </w:p>
        </w:tc>
        <w:tc>
          <w:tcPr>
            <w:tcW w:w="2790" w:type="dxa"/>
          </w:tcPr>
          <w:p w:rsidR="00FA26B5" w:rsidRPr="00FE0F27" w:rsidRDefault="00FA26B5" w:rsidP="00382DC9">
            <w:pPr>
              <w:rPr>
                <w:sz w:val="20"/>
                <w:szCs w:val="20"/>
              </w:rPr>
            </w:pPr>
            <w:r w:rsidRPr="00FE0F27">
              <w:rPr>
                <w:sz w:val="20"/>
                <w:szCs w:val="20"/>
              </w:rPr>
              <w:t>TGoNU</w:t>
            </w:r>
          </w:p>
          <w:p w:rsidR="00FA26B5" w:rsidRPr="00FE0F27" w:rsidRDefault="00FA26B5" w:rsidP="00382DC9">
            <w:pPr>
              <w:rPr>
                <w:sz w:val="20"/>
                <w:szCs w:val="20"/>
              </w:rPr>
            </w:pPr>
            <w:r w:rsidRPr="00FE0F27">
              <w:rPr>
                <w:sz w:val="20"/>
                <w:szCs w:val="20"/>
              </w:rPr>
              <w:t>Partners</w:t>
            </w:r>
          </w:p>
        </w:tc>
        <w:tc>
          <w:tcPr>
            <w:tcW w:w="1800" w:type="dxa"/>
          </w:tcPr>
          <w:p w:rsidR="00FA26B5" w:rsidRPr="00FE0F27" w:rsidRDefault="00FA26B5" w:rsidP="00382DC9">
            <w:pPr>
              <w:rPr>
                <w:b/>
                <w:color w:val="FF0000"/>
                <w:sz w:val="20"/>
                <w:szCs w:val="20"/>
              </w:rPr>
            </w:pPr>
            <w:r w:rsidRPr="00FE0F27">
              <w:rPr>
                <w:b/>
                <w:color w:val="FF0000"/>
                <w:sz w:val="20"/>
                <w:szCs w:val="20"/>
              </w:rPr>
              <w:t xml:space="preserve">Not </w:t>
            </w:r>
            <w:r w:rsidR="006034BE" w:rsidRPr="00FE0F27">
              <w:rPr>
                <w:b/>
                <w:color w:val="FF0000"/>
                <w:sz w:val="20"/>
                <w:szCs w:val="20"/>
              </w:rPr>
              <w:t>A</w:t>
            </w:r>
            <w:r w:rsidRPr="00FE0F27">
              <w:rPr>
                <w:b/>
                <w:color w:val="FF0000"/>
                <w:sz w:val="20"/>
                <w:szCs w:val="20"/>
              </w:rPr>
              <w:t xml:space="preserve">ccomplish </w:t>
            </w:r>
          </w:p>
          <w:p w:rsidR="00FA26B5" w:rsidRPr="00FE0F27" w:rsidRDefault="00FA26B5" w:rsidP="006034BE">
            <w:pPr>
              <w:rPr>
                <w:sz w:val="20"/>
                <w:szCs w:val="20"/>
              </w:rPr>
            </w:pPr>
          </w:p>
        </w:tc>
        <w:tc>
          <w:tcPr>
            <w:tcW w:w="2160" w:type="dxa"/>
            <w:shd w:val="clear" w:color="auto" w:fill="FFFFFF" w:themeFill="background1"/>
          </w:tcPr>
          <w:p w:rsidR="00FA26B5" w:rsidRPr="00FE0F27" w:rsidRDefault="00FA69E7" w:rsidP="00FA69E7">
            <w:pPr>
              <w:jc w:val="both"/>
              <w:rPr>
                <w:sz w:val="20"/>
                <w:szCs w:val="20"/>
              </w:rPr>
            </w:pPr>
            <w:r w:rsidRPr="00FE0F27">
              <w:rPr>
                <w:sz w:val="20"/>
                <w:szCs w:val="20"/>
              </w:rPr>
              <w:t xml:space="preserve">No any </w:t>
            </w:r>
            <w:r w:rsidR="000A7393" w:rsidRPr="00FE0F27">
              <w:rPr>
                <w:sz w:val="20"/>
                <w:szCs w:val="20"/>
              </w:rPr>
              <w:t xml:space="preserve">discussion about </w:t>
            </w:r>
            <w:r w:rsidRPr="00FE0F27">
              <w:rPr>
                <w:sz w:val="20"/>
                <w:szCs w:val="20"/>
              </w:rPr>
              <w:t xml:space="preserve">Plan for Resettlement, Rehabilitation </w:t>
            </w:r>
            <w:r w:rsidR="000A7393" w:rsidRPr="00FE0F27">
              <w:rPr>
                <w:sz w:val="20"/>
                <w:szCs w:val="20"/>
              </w:rPr>
              <w:t xml:space="preserve"> have started due to th</w:t>
            </w:r>
            <w:r w:rsidRPr="00FE0F27">
              <w:rPr>
                <w:sz w:val="20"/>
                <w:szCs w:val="20"/>
              </w:rPr>
              <w:t>e</w:t>
            </w:r>
            <w:r w:rsidR="000A7393" w:rsidRPr="00FE0F27">
              <w:rPr>
                <w:sz w:val="20"/>
                <w:szCs w:val="20"/>
              </w:rPr>
              <w:t xml:space="preserve"> delay in implementing the security requirements </w:t>
            </w:r>
          </w:p>
        </w:tc>
        <w:tc>
          <w:tcPr>
            <w:tcW w:w="3150" w:type="dxa"/>
            <w:shd w:val="clear" w:color="auto" w:fill="FFFFFF" w:themeFill="background1"/>
          </w:tcPr>
          <w:p w:rsidR="00FA26B5" w:rsidRPr="00FE0F27" w:rsidRDefault="007B050D" w:rsidP="007B050D">
            <w:pPr>
              <w:jc w:val="both"/>
              <w:rPr>
                <w:sz w:val="20"/>
                <w:szCs w:val="20"/>
              </w:rPr>
            </w:pPr>
            <w:r w:rsidRPr="00FE0F27">
              <w:rPr>
                <w:sz w:val="20"/>
                <w:szCs w:val="20"/>
              </w:rPr>
              <w:t xml:space="preserve">There is need for discussions to start with resettlement and Rehabilitation  </w:t>
            </w:r>
          </w:p>
        </w:tc>
      </w:tr>
      <w:tr w:rsidR="002D37C3" w:rsidRPr="00FE0F27" w:rsidTr="00382DC9">
        <w:tc>
          <w:tcPr>
            <w:tcW w:w="14490" w:type="dxa"/>
            <w:gridSpan w:val="5"/>
          </w:tcPr>
          <w:p w:rsidR="002D37C3" w:rsidRPr="00FE0F27" w:rsidRDefault="002D37C3" w:rsidP="00382DC9">
            <w:pPr>
              <w:jc w:val="center"/>
              <w:rPr>
                <w:b/>
                <w:sz w:val="20"/>
                <w:szCs w:val="20"/>
              </w:rPr>
            </w:pPr>
            <w:r w:rsidRPr="00FE0F27">
              <w:rPr>
                <w:b/>
                <w:sz w:val="20"/>
                <w:szCs w:val="20"/>
              </w:rPr>
              <w:t>Permanent Ceasefire</w:t>
            </w:r>
          </w:p>
        </w:tc>
      </w:tr>
      <w:tr w:rsidR="00316F11" w:rsidRPr="00FE0F27" w:rsidTr="0071208A">
        <w:tc>
          <w:tcPr>
            <w:tcW w:w="4590" w:type="dxa"/>
          </w:tcPr>
          <w:p w:rsidR="00316F11" w:rsidRPr="00FE0F27" w:rsidRDefault="00316F11" w:rsidP="00382DC9">
            <w:pPr>
              <w:jc w:val="both"/>
              <w:rPr>
                <w:sz w:val="20"/>
                <w:szCs w:val="20"/>
              </w:rPr>
            </w:pPr>
            <w:r w:rsidRPr="00FE0F27">
              <w:rPr>
                <w:sz w:val="20"/>
                <w:szCs w:val="20"/>
              </w:rPr>
              <w:t xml:space="preserve">Permanent ceasefire/transitional security arrangements </w:t>
            </w:r>
            <w:r w:rsidRPr="00FE0F27">
              <w:rPr>
                <w:b/>
                <w:i/>
                <w:sz w:val="20"/>
                <w:szCs w:val="20"/>
                <w:highlight w:val="yellow"/>
              </w:rPr>
              <w:t>(D-Day)</w:t>
            </w:r>
          </w:p>
        </w:tc>
        <w:tc>
          <w:tcPr>
            <w:tcW w:w="2790" w:type="dxa"/>
          </w:tcPr>
          <w:p w:rsidR="00316F11" w:rsidRPr="00FE0F27" w:rsidRDefault="00316F11" w:rsidP="00382DC9">
            <w:pPr>
              <w:rPr>
                <w:sz w:val="20"/>
                <w:szCs w:val="20"/>
              </w:rPr>
            </w:pPr>
            <w:r w:rsidRPr="00FE0F27">
              <w:rPr>
                <w:sz w:val="20"/>
                <w:szCs w:val="20"/>
              </w:rPr>
              <w:t xml:space="preserve">GRSS,SPLM/A-IO and Mediation (IGAD Plus) </w:t>
            </w:r>
          </w:p>
        </w:tc>
        <w:tc>
          <w:tcPr>
            <w:tcW w:w="1800" w:type="dxa"/>
          </w:tcPr>
          <w:p w:rsidR="00316F11" w:rsidRPr="00FE0F27" w:rsidRDefault="00316F11" w:rsidP="00574562">
            <w:pPr>
              <w:jc w:val="both"/>
              <w:rPr>
                <w:color w:val="FF0000"/>
                <w:sz w:val="20"/>
                <w:szCs w:val="20"/>
              </w:rPr>
            </w:pPr>
            <w:r w:rsidRPr="00FE0F27">
              <w:rPr>
                <w:b/>
                <w:color w:val="FF0000"/>
                <w:sz w:val="20"/>
                <w:szCs w:val="20"/>
              </w:rPr>
              <w:t xml:space="preserve">Not Observe </w:t>
            </w:r>
          </w:p>
        </w:tc>
        <w:tc>
          <w:tcPr>
            <w:tcW w:w="2160" w:type="dxa"/>
            <w:tcBorders>
              <w:bottom w:val="single" w:sz="4" w:space="0" w:color="000000" w:themeColor="text1"/>
            </w:tcBorders>
            <w:shd w:val="clear" w:color="auto" w:fill="FFFFFF" w:themeFill="background1"/>
          </w:tcPr>
          <w:p w:rsidR="00316F11" w:rsidRPr="00FE0F27" w:rsidRDefault="00FA69E7" w:rsidP="00FA69E7">
            <w:pPr>
              <w:jc w:val="both"/>
              <w:rPr>
                <w:sz w:val="20"/>
                <w:szCs w:val="20"/>
              </w:rPr>
            </w:pPr>
            <w:r w:rsidRPr="00FE0F27">
              <w:rPr>
                <w:sz w:val="20"/>
                <w:szCs w:val="20"/>
              </w:rPr>
              <w:t xml:space="preserve">The warring parties were engaged in violating the permanent ceasefire. This proof by IGAD monitoring and </w:t>
            </w:r>
            <w:r w:rsidRPr="00FE0F27">
              <w:rPr>
                <w:sz w:val="20"/>
                <w:szCs w:val="20"/>
              </w:rPr>
              <w:lastRenderedPageBreak/>
              <w:t xml:space="preserve">verification mechanism reports    </w:t>
            </w:r>
          </w:p>
        </w:tc>
        <w:tc>
          <w:tcPr>
            <w:tcW w:w="3150" w:type="dxa"/>
            <w:shd w:val="clear" w:color="auto" w:fill="FFFFFF" w:themeFill="background1"/>
          </w:tcPr>
          <w:p w:rsidR="00316F11" w:rsidRPr="00FE0F27" w:rsidRDefault="007B050D" w:rsidP="007B050D">
            <w:pPr>
              <w:jc w:val="both"/>
              <w:rPr>
                <w:sz w:val="20"/>
                <w:szCs w:val="20"/>
              </w:rPr>
            </w:pPr>
            <w:r w:rsidRPr="00FE0F27">
              <w:rPr>
                <w:sz w:val="20"/>
                <w:szCs w:val="20"/>
              </w:rPr>
              <w:lastRenderedPageBreak/>
              <w:t xml:space="preserve">There is to improve  the flow of information between the leadership of the parties and field commanders </w:t>
            </w:r>
          </w:p>
        </w:tc>
      </w:tr>
      <w:tr w:rsidR="00316F11" w:rsidRPr="00FE0F27" w:rsidTr="0071208A">
        <w:tc>
          <w:tcPr>
            <w:tcW w:w="4590" w:type="dxa"/>
          </w:tcPr>
          <w:p w:rsidR="00316F11" w:rsidRPr="00FE0F27" w:rsidRDefault="00316F11" w:rsidP="00382DC9">
            <w:pPr>
              <w:jc w:val="both"/>
              <w:rPr>
                <w:sz w:val="20"/>
                <w:szCs w:val="20"/>
              </w:rPr>
            </w:pPr>
            <w:r w:rsidRPr="00FE0F27">
              <w:rPr>
                <w:sz w:val="20"/>
                <w:szCs w:val="20"/>
              </w:rPr>
              <w:lastRenderedPageBreak/>
              <w:t xml:space="preserve">Permanent ceasefires and transitional security arrangement entry into force </w:t>
            </w:r>
            <w:r w:rsidRPr="00FE0F27">
              <w:rPr>
                <w:b/>
                <w:i/>
                <w:sz w:val="20"/>
                <w:szCs w:val="20"/>
                <w:highlight w:val="yellow"/>
              </w:rPr>
              <w:t>(D+72 hours)</w:t>
            </w:r>
          </w:p>
        </w:tc>
        <w:tc>
          <w:tcPr>
            <w:tcW w:w="2790" w:type="dxa"/>
          </w:tcPr>
          <w:p w:rsidR="00316F11" w:rsidRPr="00FE0F27" w:rsidRDefault="00316F11" w:rsidP="00382DC9">
            <w:pPr>
              <w:rPr>
                <w:sz w:val="20"/>
                <w:szCs w:val="20"/>
              </w:rPr>
            </w:pPr>
            <w:r w:rsidRPr="00FE0F27">
              <w:rPr>
                <w:sz w:val="20"/>
                <w:szCs w:val="20"/>
              </w:rPr>
              <w:t>GRSS,SPLM/A-IO,MVM</w:t>
            </w:r>
          </w:p>
        </w:tc>
        <w:tc>
          <w:tcPr>
            <w:tcW w:w="1800" w:type="dxa"/>
          </w:tcPr>
          <w:p w:rsidR="00316F11" w:rsidRPr="00FE0F27" w:rsidRDefault="00316F11" w:rsidP="00574562">
            <w:pPr>
              <w:jc w:val="both"/>
              <w:rPr>
                <w:color w:val="FF0000"/>
                <w:sz w:val="20"/>
                <w:szCs w:val="20"/>
              </w:rPr>
            </w:pPr>
            <w:r w:rsidRPr="00FE0F27">
              <w:rPr>
                <w:b/>
                <w:color w:val="FF0000"/>
                <w:sz w:val="20"/>
                <w:szCs w:val="20"/>
              </w:rPr>
              <w:t xml:space="preserve">Not Observe </w:t>
            </w:r>
          </w:p>
        </w:tc>
        <w:tc>
          <w:tcPr>
            <w:tcW w:w="2160" w:type="dxa"/>
            <w:tcBorders>
              <w:bottom w:val="single" w:sz="4" w:space="0" w:color="000000" w:themeColor="text1"/>
            </w:tcBorders>
            <w:shd w:val="clear" w:color="auto" w:fill="FFFFFF" w:themeFill="background1"/>
          </w:tcPr>
          <w:p w:rsidR="00316F11" w:rsidRPr="00FE0F27" w:rsidRDefault="00FA69E7" w:rsidP="00FA69E7">
            <w:pPr>
              <w:jc w:val="both"/>
              <w:rPr>
                <w:sz w:val="20"/>
                <w:szCs w:val="20"/>
              </w:rPr>
            </w:pPr>
            <w:r w:rsidRPr="00FE0F27">
              <w:rPr>
                <w:sz w:val="20"/>
                <w:szCs w:val="20"/>
              </w:rPr>
              <w:t xml:space="preserve">The warring parties were engaged in violating the permanent ceasefire. This proof by IGAD monitoring and verification mechanism reports    </w:t>
            </w:r>
          </w:p>
        </w:tc>
        <w:tc>
          <w:tcPr>
            <w:tcW w:w="3150" w:type="dxa"/>
            <w:shd w:val="clear" w:color="auto" w:fill="FFFFFF" w:themeFill="background1"/>
          </w:tcPr>
          <w:p w:rsidR="00316F11" w:rsidRPr="00FE0F27" w:rsidRDefault="007B050D" w:rsidP="007B050D">
            <w:pPr>
              <w:jc w:val="both"/>
              <w:rPr>
                <w:sz w:val="20"/>
                <w:szCs w:val="20"/>
              </w:rPr>
            </w:pPr>
            <w:r w:rsidRPr="00FE0F27">
              <w:rPr>
                <w:sz w:val="20"/>
                <w:szCs w:val="20"/>
              </w:rPr>
              <w:t>There is to improve  the flow of information between the leadership of the parties and field commanders</w:t>
            </w:r>
          </w:p>
        </w:tc>
      </w:tr>
      <w:tr w:rsidR="00316F11" w:rsidRPr="00FE0F27" w:rsidTr="0071208A">
        <w:tc>
          <w:tcPr>
            <w:tcW w:w="4590" w:type="dxa"/>
          </w:tcPr>
          <w:p w:rsidR="00316F11" w:rsidRPr="00FE0F27" w:rsidRDefault="00316F11" w:rsidP="00382DC9">
            <w:pPr>
              <w:jc w:val="both"/>
              <w:rPr>
                <w:sz w:val="20"/>
                <w:szCs w:val="20"/>
              </w:rPr>
            </w:pPr>
            <w:r w:rsidRPr="00FE0F27">
              <w:rPr>
                <w:sz w:val="20"/>
                <w:szCs w:val="20"/>
              </w:rPr>
              <w:t xml:space="preserve">Parties disseminate appropriate orders to all their military units </w:t>
            </w:r>
            <w:r w:rsidRPr="00FE0F27">
              <w:rPr>
                <w:b/>
                <w:i/>
                <w:sz w:val="20"/>
                <w:szCs w:val="20"/>
                <w:highlight w:val="yellow"/>
              </w:rPr>
              <w:t>(D+24 hours)</w:t>
            </w:r>
          </w:p>
        </w:tc>
        <w:tc>
          <w:tcPr>
            <w:tcW w:w="2790" w:type="dxa"/>
          </w:tcPr>
          <w:p w:rsidR="00316F11" w:rsidRPr="00FE0F27" w:rsidRDefault="00316F11" w:rsidP="00382DC9">
            <w:pPr>
              <w:rPr>
                <w:sz w:val="20"/>
                <w:szCs w:val="20"/>
              </w:rPr>
            </w:pPr>
            <w:r w:rsidRPr="00FE0F27">
              <w:rPr>
                <w:sz w:val="20"/>
                <w:szCs w:val="20"/>
              </w:rPr>
              <w:t xml:space="preserve">GRSS,SPLM/A-IO, MVM </w:t>
            </w:r>
          </w:p>
        </w:tc>
        <w:tc>
          <w:tcPr>
            <w:tcW w:w="1800" w:type="dxa"/>
          </w:tcPr>
          <w:p w:rsidR="00316F11" w:rsidRPr="00FE0F27" w:rsidRDefault="00316F11" w:rsidP="006034BE">
            <w:pPr>
              <w:rPr>
                <w:b/>
                <w:sz w:val="20"/>
                <w:szCs w:val="20"/>
              </w:rPr>
            </w:pPr>
            <w:r w:rsidRPr="00FE0F27">
              <w:rPr>
                <w:b/>
                <w:sz w:val="20"/>
                <w:szCs w:val="20"/>
              </w:rPr>
              <w:t>Accomplished</w:t>
            </w:r>
          </w:p>
          <w:p w:rsidR="00316F11" w:rsidRPr="00FE0F27" w:rsidRDefault="00316F11" w:rsidP="00382DC9">
            <w:pPr>
              <w:jc w:val="both"/>
              <w:rPr>
                <w:sz w:val="20"/>
                <w:szCs w:val="20"/>
              </w:rPr>
            </w:pPr>
          </w:p>
        </w:tc>
        <w:tc>
          <w:tcPr>
            <w:tcW w:w="2160" w:type="dxa"/>
            <w:tcBorders>
              <w:bottom w:val="single" w:sz="4" w:space="0" w:color="000000" w:themeColor="text1"/>
            </w:tcBorders>
            <w:shd w:val="clear" w:color="auto" w:fill="FFFFFF" w:themeFill="background1"/>
          </w:tcPr>
          <w:p w:rsidR="00316F11" w:rsidRPr="00FE0F27" w:rsidRDefault="007B050D" w:rsidP="007B050D">
            <w:pPr>
              <w:rPr>
                <w:sz w:val="20"/>
                <w:szCs w:val="20"/>
              </w:rPr>
            </w:pPr>
            <w:r w:rsidRPr="00FE0F27">
              <w:rPr>
                <w:sz w:val="20"/>
                <w:szCs w:val="20"/>
              </w:rPr>
              <w:t xml:space="preserve">The principals did at their leadership capacity  </w:t>
            </w:r>
          </w:p>
        </w:tc>
        <w:tc>
          <w:tcPr>
            <w:tcW w:w="3150" w:type="dxa"/>
            <w:shd w:val="clear" w:color="auto" w:fill="FFFFFF" w:themeFill="background1"/>
          </w:tcPr>
          <w:p w:rsidR="00316F11" w:rsidRPr="00FE0F27" w:rsidRDefault="007B050D" w:rsidP="007B050D">
            <w:pPr>
              <w:jc w:val="both"/>
              <w:rPr>
                <w:sz w:val="20"/>
                <w:szCs w:val="20"/>
              </w:rPr>
            </w:pPr>
            <w:r w:rsidRPr="00FE0F27">
              <w:rPr>
                <w:sz w:val="20"/>
                <w:szCs w:val="20"/>
              </w:rPr>
              <w:t xml:space="preserve">There is need for the principals to take lead in ensure that their field commanders listen and executed their directives </w:t>
            </w:r>
          </w:p>
        </w:tc>
      </w:tr>
      <w:tr w:rsidR="00316F11" w:rsidRPr="00FE0F27" w:rsidTr="0071208A">
        <w:tc>
          <w:tcPr>
            <w:tcW w:w="4590" w:type="dxa"/>
          </w:tcPr>
          <w:p w:rsidR="00316F11" w:rsidRPr="00FE0F27" w:rsidRDefault="00316F11" w:rsidP="00382DC9">
            <w:pPr>
              <w:jc w:val="both"/>
              <w:rPr>
                <w:sz w:val="20"/>
                <w:szCs w:val="20"/>
              </w:rPr>
            </w:pPr>
            <w:r w:rsidRPr="00FE0F27">
              <w:rPr>
                <w:sz w:val="20"/>
                <w:szCs w:val="20"/>
              </w:rPr>
              <w:t>Disengagement, separation and withdrawal of forces including allies of both parties (forces, militias )-</w:t>
            </w:r>
            <w:r w:rsidRPr="00FE0F27">
              <w:rPr>
                <w:b/>
                <w:i/>
                <w:sz w:val="20"/>
                <w:szCs w:val="20"/>
                <w:highlight w:val="yellow"/>
              </w:rPr>
              <w:t>D+72 hours</w:t>
            </w:r>
          </w:p>
        </w:tc>
        <w:tc>
          <w:tcPr>
            <w:tcW w:w="2790" w:type="dxa"/>
          </w:tcPr>
          <w:p w:rsidR="00316F11" w:rsidRPr="00FE0F27" w:rsidRDefault="00316F11" w:rsidP="00382DC9">
            <w:pPr>
              <w:rPr>
                <w:sz w:val="20"/>
                <w:szCs w:val="20"/>
              </w:rPr>
            </w:pPr>
            <w:r w:rsidRPr="00FE0F27">
              <w:rPr>
                <w:sz w:val="20"/>
                <w:szCs w:val="20"/>
              </w:rPr>
              <w:t>GRSS,SPLM/A-IO,MVMUNMISS</w:t>
            </w:r>
          </w:p>
        </w:tc>
        <w:tc>
          <w:tcPr>
            <w:tcW w:w="1800" w:type="dxa"/>
          </w:tcPr>
          <w:p w:rsidR="00316F11" w:rsidRPr="00FE0F27" w:rsidRDefault="00316F11" w:rsidP="00382DC9">
            <w:pPr>
              <w:rPr>
                <w:b/>
                <w:sz w:val="20"/>
                <w:szCs w:val="20"/>
              </w:rPr>
            </w:pPr>
            <w:r w:rsidRPr="00FE0F27">
              <w:rPr>
                <w:b/>
                <w:sz w:val="20"/>
                <w:szCs w:val="20"/>
              </w:rPr>
              <w:t xml:space="preserve">Accomplished </w:t>
            </w:r>
            <w:r w:rsidR="006034BE" w:rsidRPr="00FE0F27">
              <w:rPr>
                <w:b/>
                <w:sz w:val="20"/>
                <w:szCs w:val="20"/>
              </w:rPr>
              <w:t>(</w:t>
            </w:r>
            <w:r w:rsidRPr="00FE0F27">
              <w:rPr>
                <w:b/>
                <w:sz w:val="20"/>
                <w:szCs w:val="20"/>
                <w:highlight w:val="yellow"/>
              </w:rPr>
              <w:t>Half Way</w:t>
            </w:r>
            <w:r w:rsidR="006034BE" w:rsidRPr="00FE0F27">
              <w:rPr>
                <w:b/>
                <w:sz w:val="20"/>
                <w:szCs w:val="20"/>
              </w:rPr>
              <w:t>)</w:t>
            </w:r>
          </w:p>
          <w:p w:rsidR="00316F11" w:rsidRPr="00FE0F27" w:rsidRDefault="00316F11" w:rsidP="006034BE">
            <w:pPr>
              <w:rPr>
                <w:sz w:val="20"/>
                <w:szCs w:val="20"/>
              </w:rPr>
            </w:pPr>
            <w:r w:rsidRPr="00FE0F27">
              <w:rPr>
                <w:b/>
                <w:sz w:val="20"/>
                <w:szCs w:val="20"/>
              </w:rPr>
              <w:t xml:space="preserve"> </w:t>
            </w:r>
          </w:p>
        </w:tc>
        <w:tc>
          <w:tcPr>
            <w:tcW w:w="2160" w:type="dxa"/>
            <w:tcBorders>
              <w:bottom w:val="single" w:sz="4" w:space="0" w:color="000000" w:themeColor="text1"/>
            </w:tcBorders>
            <w:shd w:val="clear" w:color="auto" w:fill="FFFFFF" w:themeFill="background1"/>
          </w:tcPr>
          <w:p w:rsidR="00316F11" w:rsidRPr="00FE0F27" w:rsidRDefault="00FA69E7" w:rsidP="00FA69E7">
            <w:pPr>
              <w:jc w:val="both"/>
              <w:rPr>
                <w:sz w:val="20"/>
                <w:szCs w:val="20"/>
              </w:rPr>
            </w:pPr>
            <w:r w:rsidRPr="00FE0F27">
              <w:rPr>
                <w:sz w:val="20"/>
                <w:szCs w:val="20"/>
              </w:rPr>
              <w:t xml:space="preserve">UPDF withdraw from South Sudan but still some elements of UPDF are seen moving around in Juba </w:t>
            </w:r>
          </w:p>
        </w:tc>
        <w:tc>
          <w:tcPr>
            <w:tcW w:w="3150" w:type="dxa"/>
            <w:tcBorders>
              <w:bottom w:val="single" w:sz="4" w:space="0" w:color="000000" w:themeColor="text1"/>
            </w:tcBorders>
            <w:shd w:val="clear" w:color="auto" w:fill="FFFFFF" w:themeFill="background1"/>
          </w:tcPr>
          <w:p w:rsidR="00316F11" w:rsidRPr="00FE0F27" w:rsidRDefault="00FA69E7" w:rsidP="00FA69E7">
            <w:pPr>
              <w:jc w:val="both"/>
              <w:rPr>
                <w:sz w:val="20"/>
                <w:szCs w:val="20"/>
              </w:rPr>
            </w:pPr>
            <w:r w:rsidRPr="00FE0F27">
              <w:rPr>
                <w:sz w:val="20"/>
                <w:szCs w:val="20"/>
              </w:rPr>
              <w:t xml:space="preserve">IGAD have to justify or inform the public about the present UPDF elements , because UPDF are part of the joint forces for tracking LRA leader in Western Equatoria State </w:t>
            </w:r>
          </w:p>
        </w:tc>
      </w:tr>
      <w:tr w:rsidR="00FA69E7" w:rsidRPr="00FE0F27" w:rsidTr="0071208A">
        <w:tc>
          <w:tcPr>
            <w:tcW w:w="4590" w:type="dxa"/>
          </w:tcPr>
          <w:p w:rsidR="00FA69E7" w:rsidRPr="00FE0F27" w:rsidRDefault="00FA69E7" w:rsidP="00382DC9">
            <w:pPr>
              <w:jc w:val="both"/>
              <w:rPr>
                <w:sz w:val="20"/>
                <w:szCs w:val="20"/>
              </w:rPr>
            </w:pPr>
            <w:r w:rsidRPr="00FE0F27">
              <w:rPr>
                <w:sz w:val="20"/>
                <w:szCs w:val="20"/>
              </w:rPr>
              <w:t xml:space="preserve">Withdrawal of all allied  forces, armed groups, or militias allied to either party in conflict from the territory of South Sudan with the exception of Western Equatoria state </w:t>
            </w:r>
            <w:r w:rsidRPr="00FE0F27">
              <w:rPr>
                <w:b/>
                <w:i/>
                <w:sz w:val="20"/>
                <w:szCs w:val="20"/>
                <w:highlight w:val="yellow"/>
              </w:rPr>
              <w:t>(D+45 hours completed)</w:t>
            </w:r>
          </w:p>
        </w:tc>
        <w:tc>
          <w:tcPr>
            <w:tcW w:w="2790" w:type="dxa"/>
          </w:tcPr>
          <w:p w:rsidR="00FA69E7" w:rsidRPr="00FE0F27" w:rsidRDefault="00FA69E7" w:rsidP="00382DC9">
            <w:pPr>
              <w:rPr>
                <w:sz w:val="20"/>
                <w:szCs w:val="20"/>
              </w:rPr>
            </w:pPr>
            <w:r w:rsidRPr="00FE0F27">
              <w:rPr>
                <w:sz w:val="20"/>
                <w:szCs w:val="20"/>
              </w:rPr>
              <w:t>GRSS,SPLM/A-IO,MVM,UNMISS</w:t>
            </w:r>
          </w:p>
        </w:tc>
        <w:tc>
          <w:tcPr>
            <w:tcW w:w="1800" w:type="dxa"/>
          </w:tcPr>
          <w:p w:rsidR="00FA69E7" w:rsidRPr="00FE0F27" w:rsidRDefault="00FA69E7" w:rsidP="00382DC9">
            <w:pPr>
              <w:rPr>
                <w:b/>
                <w:sz w:val="20"/>
                <w:szCs w:val="20"/>
              </w:rPr>
            </w:pPr>
            <w:r w:rsidRPr="00FE0F27">
              <w:rPr>
                <w:b/>
                <w:sz w:val="20"/>
                <w:szCs w:val="20"/>
              </w:rPr>
              <w:t>Accomplished (</w:t>
            </w:r>
            <w:r w:rsidRPr="00FE0F27">
              <w:rPr>
                <w:b/>
                <w:sz w:val="20"/>
                <w:szCs w:val="20"/>
                <w:highlight w:val="yellow"/>
              </w:rPr>
              <w:t>Half Way</w:t>
            </w:r>
            <w:r w:rsidRPr="00FE0F27">
              <w:rPr>
                <w:b/>
                <w:sz w:val="20"/>
                <w:szCs w:val="20"/>
              </w:rPr>
              <w:t>)</w:t>
            </w:r>
          </w:p>
          <w:p w:rsidR="00FA69E7" w:rsidRPr="00FE0F27" w:rsidRDefault="00FA69E7" w:rsidP="006034BE">
            <w:pPr>
              <w:rPr>
                <w:sz w:val="20"/>
                <w:szCs w:val="20"/>
              </w:rPr>
            </w:pPr>
            <w:r w:rsidRPr="00FE0F27">
              <w:rPr>
                <w:b/>
                <w:sz w:val="20"/>
                <w:szCs w:val="20"/>
              </w:rPr>
              <w:t xml:space="preserve"> </w:t>
            </w:r>
          </w:p>
        </w:tc>
        <w:tc>
          <w:tcPr>
            <w:tcW w:w="2160" w:type="dxa"/>
            <w:tcBorders>
              <w:bottom w:val="single" w:sz="4" w:space="0" w:color="000000" w:themeColor="text1"/>
            </w:tcBorders>
            <w:shd w:val="clear" w:color="auto" w:fill="FFFFFF" w:themeFill="background1"/>
          </w:tcPr>
          <w:p w:rsidR="00FA69E7" w:rsidRPr="00FE0F27" w:rsidRDefault="00FA69E7" w:rsidP="004D723F">
            <w:pPr>
              <w:jc w:val="both"/>
              <w:rPr>
                <w:sz w:val="20"/>
                <w:szCs w:val="20"/>
              </w:rPr>
            </w:pPr>
            <w:r w:rsidRPr="00FE0F27">
              <w:rPr>
                <w:sz w:val="20"/>
                <w:szCs w:val="20"/>
              </w:rPr>
              <w:t xml:space="preserve">UPDF withdraw from South Sudan but still some elements of UPDF are seen moving around in Juba </w:t>
            </w:r>
          </w:p>
        </w:tc>
        <w:tc>
          <w:tcPr>
            <w:tcW w:w="3150" w:type="dxa"/>
            <w:shd w:val="clear" w:color="auto" w:fill="FFFFFF" w:themeFill="background1"/>
          </w:tcPr>
          <w:p w:rsidR="00FA69E7" w:rsidRPr="00FE0F27" w:rsidRDefault="00FA69E7" w:rsidP="004D723F">
            <w:pPr>
              <w:jc w:val="both"/>
              <w:rPr>
                <w:sz w:val="20"/>
                <w:szCs w:val="20"/>
              </w:rPr>
            </w:pPr>
            <w:r w:rsidRPr="00FE0F27">
              <w:rPr>
                <w:sz w:val="20"/>
                <w:szCs w:val="20"/>
              </w:rPr>
              <w:t xml:space="preserve">IGAD have to justify or inform the public about the present UPDF elements , because UPDF are part of the joint forces for tracking LRA leader in Western Equatoria State </w:t>
            </w:r>
          </w:p>
        </w:tc>
      </w:tr>
      <w:tr w:rsidR="00FA69E7" w:rsidRPr="00FE0F27" w:rsidTr="0071208A">
        <w:tc>
          <w:tcPr>
            <w:tcW w:w="4590" w:type="dxa"/>
          </w:tcPr>
          <w:p w:rsidR="00FA69E7" w:rsidRPr="00FE0F27" w:rsidRDefault="00FA69E7" w:rsidP="00382DC9">
            <w:pPr>
              <w:jc w:val="both"/>
              <w:rPr>
                <w:sz w:val="20"/>
                <w:szCs w:val="20"/>
              </w:rPr>
            </w:pPr>
            <w:r w:rsidRPr="00FE0F27">
              <w:rPr>
                <w:sz w:val="20"/>
                <w:szCs w:val="20"/>
              </w:rPr>
              <w:t>Convene permanent ceasefire and Transitional Security Arrangement (PCTSA) –</w:t>
            </w:r>
            <w:r w:rsidRPr="00FE0F27">
              <w:rPr>
                <w:b/>
                <w:i/>
                <w:sz w:val="20"/>
                <w:szCs w:val="20"/>
                <w:highlight w:val="yellow"/>
              </w:rPr>
              <w:t>D+14 days completed</w:t>
            </w:r>
          </w:p>
        </w:tc>
        <w:tc>
          <w:tcPr>
            <w:tcW w:w="2790" w:type="dxa"/>
          </w:tcPr>
          <w:p w:rsidR="00FA69E7" w:rsidRPr="00FE0F27" w:rsidRDefault="00FA69E7" w:rsidP="00382DC9">
            <w:pPr>
              <w:rPr>
                <w:sz w:val="20"/>
                <w:szCs w:val="20"/>
              </w:rPr>
            </w:pPr>
            <w:r w:rsidRPr="00FE0F27">
              <w:rPr>
                <w:sz w:val="20"/>
                <w:szCs w:val="20"/>
              </w:rPr>
              <w:t>IGAD,GRSS,SPLM/A-IO</w:t>
            </w:r>
          </w:p>
        </w:tc>
        <w:tc>
          <w:tcPr>
            <w:tcW w:w="1800" w:type="dxa"/>
          </w:tcPr>
          <w:p w:rsidR="00FA69E7" w:rsidRPr="00FE0F27" w:rsidRDefault="00FA69E7" w:rsidP="00ED1166">
            <w:pPr>
              <w:rPr>
                <w:b/>
                <w:sz w:val="20"/>
                <w:szCs w:val="20"/>
              </w:rPr>
            </w:pPr>
            <w:r w:rsidRPr="00FE0F27">
              <w:rPr>
                <w:b/>
                <w:sz w:val="20"/>
                <w:szCs w:val="20"/>
              </w:rPr>
              <w:t>Accomplished</w:t>
            </w:r>
          </w:p>
          <w:p w:rsidR="00FA69E7" w:rsidRPr="00FE0F27" w:rsidRDefault="00FA69E7" w:rsidP="006034BE">
            <w:pPr>
              <w:jc w:val="both"/>
              <w:rPr>
                <w:sz w:val="20"/>
                <w:szCs w:val="20"/>
              </w:rPr>
            </w:pPr>
          </w:p>
        </w:tc>
        <w:tc>
          <w:tcPr>
            <w:tcW w:w="2160" w:type="dxa"/>
            <w:tcBorders>
              <w:bottom w:val="single" w:sz="4" w:space="0" w:color="000000" w:themeColor="text1"/>
            </w:tcBorders>
            <w:shd w:val="clear" w:color="auto" w:fill="FFFFFF" w:themeFill="background1"/>
          </w:tcPr>
          <w:p w:rsidR="00FA69E7" w:rsidRPr="00FE0F27" w:rsidRDefault="00FA69E7" w:rsidP="00FA69E7">
            <w:pPr>
              <w:jc w:val="both"/>
              <w:rPr>
                <w:sz w:val="20"/>
                <w:szCs w:val="20"/>
              </w:rPr>
            </w:pPr>
            <w:r w:rsidRPr="00FE0F27">
              <w:rPr>
                <w:sz w:val="20"/>
                <w:szCs w:val="20"/>
              </w:rPr>
              <w:t xml:space="preserve">The minutes took SPLM-IO to sign due to some matters that they get convince about it  </w:t>
            </w:r>
          </w:p>
        </w:tc>
        <w:tc>
          <w:tcPr>
            <w:tcW w:w="3150" w:type="dxa"/>
            <w:tcBorders>
              <w:bottom w:val="single" w:sz="4" w:space="0" w:color="000000" w:themeColor="text1"/>
            </w:tcBorders>
            <w:shd w:val="clear" w:color="auto" w:fill="FFFFFF" w:themeFill="background1"/>
          </w:tcPr>
          <w:p w:rsidR="00FA69E7" w:rsidRPr="00FE0F27" w:rsidRDefault="007B050D" w:rsidP="00291A4E">
            <w:pPr>
              <w:jc w:val="both"/>
              <w:rPr>
                <w:sz w:val="20"/>
                <w:szCs w:val="20"/>
              </w:rPr>
            </w:pPr>
            <w:r w:rsidRPr="00FE0F27">
              <w:rPr>
                <w:sz w:val="20"/>
                <w:szCs w:val="20"/>
              </w:rPr>
              <w:t xml:space="preserve">There is need for non  politicization of the implementation </w:t>
            </w:r>
          </w:p>
        </w:tc>
      </w:tr>
      <w:tr w:rsidR="007B050D" w:rsidRPr="00FE0F27" w:rsidTr="00971351">
        <w:tc>
          <w:tcPr>
            <w:tcW w:w="4590" w:type="dxa"/>
          </w:tcPr>
          <w:p w:rsidR="007B050D" w:rsidRPr="00FE0F27" w:rsidRDefault="007B050D" w:rsidP="00382DC9">
            <w:pPr>
              <w:jc w:val="both"/>
              <w:rPr>
                <w:sz w:val="20"/>
                <w:szCs w:val="20"/>
              </w:rPr>
            </w:pPr>
            <w:r w:rsidRPr="00FE0F27">
              <w:rPr>
                <w:sz w:val="20"/>
                <w:szCs w:val="20"/>
              </w:rPr>
              <w:t>Immediate and unconditional release of all Prisoners of War (POW), child soldiers and report to MVM-</w:t>
            </w:r>
            <w:r w:rsidRPr="00FE0F27">
              <w:rPr>
                <w:b/>
                <w:i/>
                <w:sz w:val="20"/>
                <w:szCs w:val="20"/>
                <w:highlight w:val="yellow"/>
              </w:rPr>
              <w:t>Immediate-D-Day</w:t>
            </w:r>
          </w:p>
        </w:tc>
        <w:tc>
          <w:tcPr>
            <w:tcW w:w="2790" w:type="dxa"/>
          </w:tcPr>
          <w:p w:rsidR="007B050D" w:rsidRPr="00FE0F27" w:rsidRDefault="007B050D" w:rsidP="00382DC9">
            <w:pPr>
              <w:rPr>
                <w:sz w:val="20"/>
                <w:szCs w:val="20"/>
              </w:rPr>
            </w:pPr>
            <w:r w:rsidRPr="00FE0F27">
              <w:rPr>
                <w:sz w:val="20"/>
                <w:szCs w:val="20"/>
              </w:rPr>
              <w:t>GRSS,SPLM/A-IO,ICRC,UNICEF,MVM</w:t>
            </w:r>
          </w:p>
        </w:tc>
        <w:tc>
          <w:tcPr>
            <w:tcW w:w="1800" w:type="dxa"/>
          </w:tcPr>
          <w:p w:rsidR="007B050D" w:rsidRPr="00FE0F27" w:rsidRDefault="007B050D" w:rsidP="00ED1166">
            <w:pPr>
              <w:rPr>
                <w:b/>
                <w:color w:val="FF0000"/>
                <w:sz w:val="20"/>
                <w:szCs w:val="20"/>
              </w:rPr>
            </w:pPr>
            <w:r w:rsidRPr="00FE0F27">
              <w:rPr>
                <w:b/>
                <w:color w:val="FF0000"/>
                <w:sz w:val="20"/>
                <w:szCs w:val="20"/>
              </w:rPr>
              <w:t>Not Accomplish</w:t>
            </w:r>
          </w:p>
          <w:p w:rsidR="007B050D" w:rsidRPr="00FE0F27" w:rsidRDefault="007B050D" w:rsidP="00ED1166">
            <w:pPr>
              <w:rPr>
                <w:sz w:val="20"/>
                <w:szCs w:val="20"/>
              </w:rPr>
            </w:pPr>
          </w:p>
        </w:tc>
        <w:tc>
          <w:tcPr>
            <w:tcW w:w="2160" w:type="dxa"/>
            <w:vMerge w:val="restart"/>
            <w:shd w:val="clear" w:color="auto" w:fill="FFFFFF" w:themeFill="background1"/>
          </w:tcPr>
          <w:p w:rsidR="007B050D" w:rsidRPr="00FE0F27" w:rsidRDefault="007B050D" w:rsidP="0071208A">
            <w:pPr>
              <w:jc w:val="both"/>
              <w:rPr>
                <w:sz w:val="20"/>
                <w:szCs w:val="20"/>
              </w:rPr>
            </w:pPr>
          </w:p>
          <w:p w:rsidR="007B050D" w:rsidRPr="00FE0F27" w:rsidRDefault="007B050D" w:rsidP="0071208A">
            <w:pPr>
              <w:jc w:val="both"/>
              <w:rPr>
                <w:sz w:val="20"/>
                <w:szCs w:val="20"/>
              </w:rPr>
            </w:pPr>
          </w:p>
          <w:p w:rsidR="007B050D" w:rsidRPr="00FE0F27" w:rsidRDefault="007B050D" w:rsidP="0071208A">
            <w:pPr>
              <w:jc w:val="both"/>
              <w:rPr>
                <w:sz w:val="20"/>
                <w:szCs w:val="20"/>
              </w:rPr>
            </w:pPr>
          </w:p>
          <w:p w:rsidR="007B050D" w:rsidRPr="00FE0F27" w:rsidRDefault="007B050D" w:rsidP="0071208A">
            <w:pPr>
              <w:jc w:val="both"/>
              <w:rPr>
                <w:sz w:val="20"/>
                <w:szCs w:val="20"/>
              </w:rPr>
            </w:pPr>
          </w:p>
          <w:p w:rsidR="007B050D" w:rsidRPr="00FE0F27" w:rsidRDefault="007B050D" w:rsidP="0071208A">
            <w:pPr>
              <w:jc w:val="both"/>
              <w:rPr>
                <w:sz w:val="20"/>
                <w:szCs w:val="20"/>
              </w:rPr>
            </w:pPr>
          </w:p>
          <w:p w:rsidR="007B050D" w:rsidRPr="00FE0F27" w:rsidRDefault="007B050D" w:rsidP="0071208A">
            <w:pPr>
              <w:jc w:val="both"/>
              <w:rPr>
                <w:sz w:val="20"/>
                <w:szCs w:val="20"/>
              </w:rPr>
            </w:pPr>
          </w:p>
          <w:p w:rsidR="007B050D" w:rsidRPr="00FE0F27" w:rsidRDefault="007B050D" w:rsidP="0071208A">
            <w:pPr>
              <w:jc w:val="both"/>
              <w:rPr>
                <w:sz w:val="20"/>
                <w:szCs w:val="20"/>
              </w:rPr>
            </w:pPr>
          </w:p>
          <w:p w:rsidR="007B050D" w:rsidRPr="00FE0F27" w:rsidRDefault="007B050D" w:rsidP="0071208A">
            <w:pPr>
              <w:jc w:val="both"/>
              <w:rPr>
                <w:sz w:val="20"/>
                <w:szCs w:val="20"/>
              </w:rPr>
            </w:pPr>
            <w:r w:rsidRPr="00FE0F27">
              <w:rPr>
                <w:sz w:val="20"/>
                <w:szCs w:val="20"/>
              </w:rPr>
              <w:t xml:space="preserve">Due to the delay in the acceptance of the </w:t>
            </w:r>
            <w:r w:rsidRPr="00FE0F27">
              <w:rPr>
                <w:sz w:val="20"/>
                <w:szCs w:val="20"/>
              </w:rPr>
              <w:lastRenderedPageBreak/>
              <w:t xml:space="preserve">outcomes of permanent ceasefire and security arrangement workshop minutes </w:t>
            </w:r>
          </w:p>
        </w:tc>
        <w:tc>
          <w:tcPr>
            <w:tcW w:w="3150" w:type="dxa"/>
            <w:vMerge w:val="restart"/>
            <w:shd w:val="clear" w:color="auto" w:fill="FFFFFF" w:themeFill="background1"/>
          </w:tcPr>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291A4E">
            <w:pPr>
              <w:jc w:val="both"/>
              <w:rPr>
                <w:sz w:val="20"/>
                <w:szCs w:val="20"/>
              </w:rPr>
            </w:pPr>
            <w:r w:rsidRPr="00FE0F27">
              <w:rPr>
                <w:sz w:val="20"/>
                <w:szCs w:val="20"/>
              </w:rPr>
              <w:t>There is need for non  politicization of the implementation</w:t>
            </w:r>
          </w:p>
        </w:tc>
      </w:tr>
      <w:tr w:rsidR="007B050D" w:rsidRPr="00FE0F27" w:rsidTr="00971351">
        <w:tc>
          <w:tcPr>
            <w:tcW w:w="4590" w:type="dxa"/>
          </w:tcPr>
          <w:p w:rsidR="007B050D" w:rsidRPr="00FE0F27" w:rsidRDefault="007B050D" w:rsidP="00382DC9">
            <w:pPr>
              <w:jc w:val="both"/>
              <w:rPr>
                <w:sz w:val="20"/>
                <w:szCs w:val="20"/>
              </w:rPr>
            </w:pPr>
            <w:r w:rsidRPr="00FE0F27">
              <w:rPr>
                <w:sz w:val="20"/>
                <w:szCs w:val="20"/>
              </w:rPr>
              <w:t>Separation, assembly and cantonment of forces previously in combat in Juba, Jongeli, Unity and Upper Nile states and forces in any other areas declared by the Parties far from the borders with neighboring countries</w:t>
            </w:r>
            <w:r w:rsidRPr="00FE0F27">
              <w:rPr>
                <w:b/>
                <w:i/>
                <w:sz w:val="20"/>
                <w:szCs w:val="20"/>
                <w:highlight w:val="yellow"/>
              </w:rPr>
              <w:t>( D+30 days)</w:t>
            </w:r>
          </w:p>
        </w:tc>
        <w:tc>
          <w:tcPr>
            <w:tcW w:w="2790" w:type="dxa"/>
          </w:tcPr>
          <w:p w:rsidR="007B050D" w:rsidRPr="00FE0F27" w:rsidRDefault="007B050D" w:rsidP="00382DC9">
            <w:pPr>
              <w:rPr>
                <w:sz w:val="20"/>
                <w:szCs w:val="20"/>
              </w:rPr>
            </w:pPr>
            <w:r w:rsidRPr="00FE0F27">
              <w:rPr>
                <w:sz w:val="20"/>
                <w:szCs w:val="20"/>
              </w:rPr>
              <w:t>GRSS,SPLM/A-IO,MVM,UNMISS</w:t>
            </w:r>
          </w:p>
        </w:tc>
        <w:tc>
          <w:tcPr>
            <w:tcW w:w="1800" w:type="dxa"/>
          </w:tcPr>
          <w:p w:rsidR="007B050D" w:rsidRPr="00FE0F27" w:rsidRDefault="007B050D" w:rsidP="00ED1166">
            <w:pPr>
              <w:rPr>
                <w:b/>
                <w:color w:val="FF0000"/>
                <w:sz w:val="20"/>
                <w:szCs w:val="20"/>
              </w:rPr>
            </w:pPr>
            <w:r w:rsidRPr="00FE0F27">
              <w:rPr>
                <w:b/>
                <w:color w:val="FF0000"/>
                <w:sz w:val="20"/>
                <w:szCs w:val="20"/>
              </w:rPr>
              <w:t>Not Accomplish</w:t>
            </w:r>
          </w:p>
          <w:p w:rsidR="007B050D" w:rsidRPr="00FE0F27" w:rsidRDefault="007B050D" w:rsidP="00ED1166">
            <w:pPr>
              <w:rPr>
                <w:sz w:val="20"/>
                <w:szCs w:val="20"/>
              </w:rPr>
            </w:pPr>
          </w:p>
        </w:tc>
        <w:tc>
          <w:tcPr>
            <w:tcW w:w="2160" w:type="dxa"/>
            <w:vMerge/>
            <w:shd w:val="clear" w:color="auto" w:fill="FFFFFF" w:themeFill="background1"/>
          </w:tcPr>
          <w:p w:rsidR="007B050D" w:rsidRPr="00FE0F27" w:rsidRDefault="007B050D" w:rsidP="0071208A">
            <w:pPr>
              <w:jc w:val="both"/>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71208A">
        <w:tc>
          <w:tcPr>
            <w:tcW w:w="4590" w:type="dxa"/>
          </w:tcPr>
          <w:p w:rsidR="007B050D" w:rsidRPr="00FE0F27" w:rsidRDefault="007B050D" w:rsidP="00382DC9">
            <w:pPr>
              <w:jc w:val="both"/>
              <w:rPr>
                <w:sz w:val="20"/>
                <w:szCs w:val="20"/>
              </w:rPr>
            </w:pPr>
            <w:r w:rsidRPr="00FE0F27">
              <w:rPr>
                <w:sz w:val="20"/>
                <w:szCs w:val="20"/>
              </w:rPr>
              <w:t xml:space="preserve">Activities in the assembly/cantonment sites </w:t>
            </w:r>
            <w:r w:rsidRPr="00FE0F27">
              <w:rPr>
                <w:b/>
                <w:i/>
                <w:sz w:val="20"/>
                <w:szCs w:val="20"/>
                <w:highlight w:val="yellow"/>
              </w:rPr>
              <w:t xml:space="preserve">(D+90 </w:t>
            </w:r>
            <w:r w:rsidRPr="00FE0F27">
              <w:rPr>
                <w:b/>
                <w:i/>
                <w:sz w:val="20"/>
                <w:szCs w:val="20"/>
                <w:highlight w:val="yellow"/>
              </w:rPr>
              <w:lastRenderedPageBreak/>
              <w:t>days)</w:t>
            </w:r>
          </w:p>
        </w:tc>
        <w:tc>
          <w:tcPr>
            <w:tcW w:w="2790" w:type="dxa"/>
          </w:tcPr>
          <w:p w:rsidR="007B050D" w:rsidRPr="00FE0F27" w:rsidRDefault="007B050D" w:rsidP="00382DC9">
            <w:pPr>
              <w:rPr>
                <w:sz w:val="20"/>
                <w:szCs w:val="20"/>
              </w:rPr>
            </w:pPr>
            <w:r w:rsidRPr="00FE0F27">
              <w:rPr>
                <w:sz w:val="20"/>
                <w:szCs w:val="20"/>
              </w:rPr>
              <w:lastRenderedPageBreak/>
              <w:t xml:space="preserve">GRSS,SPLM/A-IO,MVM, </w:t>
            </w:r>
            <w:r w:rsidRPr="00FE0F27">
              <w:rPr>
                <w:sz w:val="20"/>
                <w:szCs w:val="20"/>
              </w:rPr>
              <w:lastRenderedPageBreak/>
              <w:t>AU,UNMISS</w:t>
            </w:r>
          </w:p>
        </w:tc>
        <w:tc>
          <w:tcPr>
            <w:tcW w:w="1800" w:type="dxa"/>
          </w:tcPr>
          <w:p w:rsidR="007B050D" w:rsidRPr="00FE0F27" w:rsidRDefault="007B050D" w:rsidP="00574562">
            <w:pPr>
              <w:rPr>
                <w:b/>
                <w:color w:val="FF0000"/>
                <w:sz w:val="20"/>
                <w:szCs w:val="20"/>
              </w:rPr>
            </w:pPr>
            <w:r w:rsidRPr="00FE0F27">
              <w:rPr>
                <w:b/>
                <w:color w:val="FF0000"/>
                <w:sz w:val="20"/>
                <w:szCs w:val="20"/>
              </w:rPr>
              <w:lastRenderedPageBreak/>
              <w:t xml:space="preserve">Not Accomplish </w:t>
            </w:r>
          </w:p>
        </w:tc>
        <w:tc>
          <w:tcPr>
            <w:tcW w:w="2160" w:type="dxa"/>
            <w:vMerge/>
            <w:shd w:val="clear" w:color="auto" w:fill="FFFFFF" w:themeFill="background1"/>
          </w:tcPr>
          <w:p w:rsidR="007B050D" w:rsidRPr="00FE0F27" w:rsidRDefault="007B050D" w:rsidP="0071208A">
            <w:pPr>
              <w:jc w:val="both"/>
              <w:rPr>
                <w:sz w:val="20"/>
                <w:szCs w:val="20"/>
              </w:rPr>
            </w:pPr>
          </w:p>
        </w:tc>
        <w:tc>
          <w:tcPr>
            <w:tcW w:w="3150" w:type="dxa"/>
            <w:vMerge/>
            <w:tcBorders>
              <w:bottom w:val="single" w:sz="4" w:space="0" w:color="000000" w:themeColor="text1"/>
            </w:tcBorders>
            <w:shd w:val="clear" w:color="auto" w:fill="FFFFFF" w:themeFill="background1"/>
          </w:tcPr>
          <w:p w:rsidR="007B050D" w:rsidRPr="00FE0F27" w:rsidRDefault="007B050D" w:rsidP="00382DC9">
            <w:pPr>
              <w:rPr>
                <w:sz w:val="20"/>
                <w:szCs w:val="20"/>
              </w:rPr>
            </w:pPr>
          </w:p>
        </w:tc>
      </w:tr>
      <w:tr w:rsidR="007B050D" w:rsidRPr="00FE0F27" w:rsidTr="001410F7">
        <w:tc>
          <w:tcPr>
            <w:tcW w:w="4590" w:type="dxa"/>
          </w:tcPr>
          <w:p w:rsidR="007B050D" w:rsidRPr="00FE0F27" w:rsidRDefault="007B050D" w:rsidP="00382DC9">
            <w:pPr>
              <w:jc w:val="both"/>
              <w:rPr>
                <w:sz w:val="20"/>
                <w:szCs w:val="20"/>
              </w:rPr>
            </w:pPr>
            <w:r w:rsidRPr="00FE0F27">
              <w:rPr>
                <w:sz w:val="20"/>
                <w:szCs w:val="20"/>
              </w:rPr>
              <w:lastRenderedPageBreak/>
              <w:t xml:space="preserve">Identification and phasing of the forces to be unified </w:t>
            </w:r>
            <w:r w:rsidRPr="00FE0F27">
              <w:rPr>
                <w:b/>
                <w:i/>
                <w:sz w:val="20"/>
                <w:szCs w:val="20"/>
                <w:highlight w:val="yellow"/>
              </w:rPr>
              <w:t>(after D-Day+90 days)</w:t>
            </w:r>
          </w:p>
        </w:tc>
        <w:tc>
          <w:tcPr>
            <w:tcW w:w="2790" w:type="dxa"/>
          </w:tcPr>
          <w:p w:rsidR="007B050D" w:rsidRPr="00FE0F27" w:rsidRDefault="007B050D" w:rsidP="00382DC9">
            <w:pPr>
              <w:rPr>
                <w:sz w:val="20"/>
                <w:szCs w:val="20"/>
              </w:rPr>
            </w:pPr>
            <w:r w:rsidRPr="00FE0F27">
              <w:rPr>
                <w:sz w:val="20"/>
                <w:szCs w:val="20"/>
              </w:rPr>
              <w:t>GRSS,SPLM/A-IO,SDSR,CTSAMM and UNMISS</w:t>
            </w:r>
          </w:p>
        </w:tc>
        <w:tc>
          <w:tcPr>
            <w:tcW w:w="1800" w:type="dxa"/>
          </w:tcPr>
          <w:p w:rsidR="007B050D" w:rsidRPr="00FE0F27" w:rsidRDefault="007B050D" w:rsidP="00574562">
            <w:pPr>
              <w:rPr>
                <w:b/>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71208A">
            <w:pPr>
              <w:jc w:val="both"/>
              <w:rPr>
                <w:sz w:val="20"/>
                <w:szCs w:val="20"/>
              </w:rPr>
            </w:pPr>
          </w:p>
        </w:tc>
        <w:tc>
          <w:tcPr>
            <w:tcW w:w="3150" w:type="dxa"/>
            <w:vMerge w:val="restart"/>
            <w:shd w:val="clear" w:color="auto" w:fill="FFFFFF" w:themeFill="background1"/>
          </w:tcPr>
          <w:p w:rsidR="007B050D" w:rsidRPr="00FE0F27" w:rsidRDefault="007B050D" w:rsidP="00382DC9">
            <w:pPr>
              <w:rPr>
                <w:sz w:val="20"/>
                <w:szCs w:val="20"/>
              </w:rPr>
            </w:pPr>
          </w:p>
        </w:tc>
      </w:tr>
      <w:tr w:rsidR="007B050D" w:rsidRPr="00FE0F27" w:rsidTr="001410F7">
        <w:tc>
          <w:tcPr>
            <w:tcW w:w="4590" w:type="dxa"/>
          </w:tcPr>
          <w:p w:rsidR="007B050D" w:rsidRPr="00FE0F27" w:rsidRDefault="007B050D" w:rsidP="00382DC9">
            <w:pPr>
              <w:jc w:val="both"/>
              <w:rPr>
                <w:sz w:val="20"/>
                <w:szCs w:val="20"/>
              </w:rPr>
            </w:pPr>
            <w:r w:rsidRPr="00FE0F27">
              <w:rPr>
                <w:sz w:val="20"/>
                <w:szCs w:val="20"/>
              </w:rPr>
              <w:t xml:space="preserve">A completed declaration of personnel and equipment of forces not in cantonment provided </w:t>
            </w:r>
            <w:r w:rsidRPr="00FE0F27">
              <w:rPr>
                <w:b/>
                <w:i/>
                <w:sz w:val="20"/>
                <w:szCs w:val="20"/>
                <w:highlight w:val="yellow"/>
              </w:rPr>
              <w:t>(no later than ninety (90) days after signing this Agreement)</w:t>
            </w:r>
          </w:p>
        </w:tc>
        <w:tc>
          <w:tcPr>
            <w:tcW w:w="2790" w:type="dxa"/>
          </w:tcPr>
          <w:p w:rsidR="007B050D" w:rsidRPr="00FE0F27" w:rsidRDefault="007B050D" w:rsidP="00382DC9">
            <w:pPr>
              <w:rPr>
                <w:sz w:val="20"/>
                <w:szCs w:val="20"/>
              </w:rPr>
            </w:pPr>
            <w:r w:rsidRPr="00FE0F27">
              <w:rPr>
                <w:sz w:val="20"/>
                <w:szCs w:val="20"/>
              </w:rPr>
              <w:t xml:space="preserve">GRSS,SPLM/A-IO,SDSR Board </w:t>
            </w:r>
          </w:p>
        </w:tc>
        <w:tc>
          <w:tcPr>
            <w:tcW w:w="1800" w:type="dxa"/>
          </w:tcPr>
          <w:p w:rsidR="007B050D" w:rsidRPr="00FE0F27" w:rsidRDefault="007B050D" w:rsidP="00574562">
            <w:pPr>
              <w:rPr>
                <w:b/>
                <w:color w:val="FF0000"/>
                <w:sz w:val="20"/>
                <w:szCs w:val="20"/>
              </w:rPr>
            </w:pPr>
            <w:r w:rsidRPr="00FE0F27">
              <w:rPr>
                <w:b/>
                <w:color w:val="FF0000"/>
                <w:sz w:val="20"/>
                <w:szCs w:val="20"/>
              </w:rPr>
              <w:t xml:space="preserve">Not Accomplish </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1410F7">
        <w:tc>
          <w:tcPr>
            <w:tcW w:w="4590" w:type="dxa"/>
          </w:tcPr>
          <w:p w:rsidR="007B050D" w:rsidRPr="00FE0F27" w:rsidRDefault="007B050D" w:rsidP="00382DC9">
            <w:pPr>
              <w:jc w:val="both"/>
              <w:rPr>
                <w:sz w:val="20"/>
                <w:szCs w:val="20"/>
              </w:rPr>
            </w:pPr>
            <w:r w:rsidRPr="00FE0F27">
              <w:rPr>
                <w:sz w:val="20"/>
                <w:szCs w:val="20"/>
              </w:rPr>
              <w:t xml:space="preserve">Joint national architecture; JMCC,AJMCC and JMCTs established </w:t>
            </w:r>
            <w:r w:rsidRPr="00FE0F27">
              <w:rPr>
                <w:b/>
                <w:i/>
                <w:sz w:val="20"/>
                <w:szCs w:val="20"/>
                <w:highlight w:val="yellow"/>
              </w:rPr>
              <w:t>(D+30days completed)</w:t>
            </w:r>
          </w:p>
        </w:tc>
        <w:tc>
          <w:tcPr>
            <w:tcW w:w="2790" w:type="dxa"/>
          </w:tcPr>
          <w:p w:rsidR="007B050D" w:rsidRPr="00FE0F27" w:rsidRDefault="007B050D" w:rsidP="00382DC9">
            <w:pPr>
              <w:rPr>
                <w:sz w:val="20"/>
                <w:szCs w:val="20"/>
              </w:rPr>
            </w:pPr>
            <w:r w:rsidRPr="00FE0F27">
              <w:rPr>
                <w:sz w:val="20"/>
                <w:szCs w:val="20"/>
              </w:rPr>
              <w:t>GRSS,SPLM/A-IO,MVM</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71208A">
        <w:tc>
          <w:tcPr>
            <w:tcW w:w="4590" w:type="dxa"/>
          </w:tcPr>
          <w:p w:rsidR="007B050D" w:rsidRPr="00FE0F27" w:rsidRDefault="007B050D" w:rsidP="00382DC9">
            <w:pPr>
              <w:jc w:val="both"/>
              <w:rPr>
                <w:sz w:val="20"/>
                <w:szCs w:val="20"/>
              </w:rPr>
            </w:pPr>
            <w:r w:rsidRPr="00FE0F27">
              <w:rPr>
                <w:sz w:val="20"/>
                <w:szCs w:val="20"/>
              </w:rPr>
              <w:t>Establish CTSAMM;CTSAMM carries out its responsibilities including monitoring compliance and reporting until the end of Transition</w:t>
            </w:r>
          </w:p>
          <w:p w:rsidR="007B050D" w:rsidRPr="00FE0F27" w:rsidRDefault="007B050D" w:rsidP="00382DC9">
            <w:pPr>
              <w:jc w:val="both"/>
              <w:rPr>
                <w:b/>
                <w:i/>
                <w:sz w:val="20"/>
                <w:szCs w:val="20"/>
              </w:rPr>
            </w:pPr>
            <w:r w:rsidRPr="00FE0F27">
              <w:rPr>
                <w:b/>
                <w:i/>
                <w:sz w:val="20"/>
                <w:szCs w:val="20"/>
                <w:highlight w:val="yellow"/>
              </w:rPr>
              <w:t>Within 3 months of signing of this agreement-throughout the Transition Period (30 Months)</w:t>
            </w:r>
          </w:p>
        </w:tc>
        <w:tc>
          <w:tcPr>
            <w:tcW w:w="2790" w:type="dxa"/>
          </w:tcPr>
          <w:p w:rsidR="007B050D" w:rsidRPr="00FE0F27" w:rsidRDefault="007B050D" w:rsidP="00382DC9">
            <w:pPr>
              <w:rPr>
                <w:sz w:val="20"/>
                <w:szCs w:val="20"/>
              </w:rPr>
            </w:pPr>
            <w:r w:rsidRPr="00FE0F27">
              <w:rPr>
                <w:sz w:val="20"/>
                <w:szCs w:val="20"/>
              </w:rPr>
              <w:t>IGAD</w:t>
            </w:r>
          </w:p>
          <w:p w:rsidR="007B050D" w:rsidRPr="00FE0F27" w:rsidRDefault="007B050D" w:rsidP="00382DC9">
            <w:pPr>
              <w:rPr>
                <w:sz w:val="20"/>
                <w:szCs w:val="20"/>
              </w:rPr>
            </w:pPr>
            <w:r w:rsidRPr="00FE0F27">
              <w:rPr>
                <w:sz w:val="20"/>
                <w:szCs w:val="20"/>
              </w:rPr>
              <w:t>UNMISS</w:t>
            </w:r>
          </w:p>
          <w:p w:rsidR="007B050D" w:rsidRPr="00FE0F27" w:rsidRDefault="007B050D" w:rsidP="00382DC9">
            <w:pPr>
              <w:rPr>
                <w:sz w:val="20"/>
                <w:szCs w:val="20"/>
              </w:rPr>
            </w:pPr>
            <w:r w:rsidRPr="00FE0F27">
              <w:rPr>
                <w:sz w:val="20"/>
                <w:szCs w:val="20"/>
              </w:rPr>
              <w:t xml:space="preserve">Partners </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tcBorders>
              <w:bottom w:val="single" w:sz="4" w:space="0" w:color="000000" w:themeColor="text1"/>
            </w:tcBorders>
            <w:shd w:val="clear" w:color="auto" w:fill="FFFFFF" w:themeFill="background1"/>
          </w:tcPr>
          <w:p w:rsidR="007B050D" w:rsidRPr="00FE0F27" w:rsidRDefault="007B050D" w:rsidP="00382DC9">
            <w:pPr>
              <w:rPr>
                <w:sz w:val="20"/>
                <w:szCs w:val="20"/>
              </w:rPr>
            </w:pPr>
          </w:p>
        </w:tc>
        <w:tc>
          <w:tcPr>
            <w:tcW w:w="3150" w:type="dxa"/>
            <w:vMerge/>
            <w:tcBorders>
              <w:bottom w:val="single" w:sz="4" w:space="0" w:color="000000" w:themeColor="text1"/>
            </w:tcBorders>
            <w:shd w:val="clear" w:color="auto" w:fill="FFFFFF" w:themeFill="background1"/>
          </w:tcPr>
          <w:p w:rsidR="007B050D" w:rsidRPr="00FE0F27" w:rsidRDefault="007B050D" w:rsidP="00382DC9">
            <w:pPr>
              <w:rPr>
                <w:sz w:val="20"/>
                <w:szCs w:val="20"/>
              </w:rPr>
            </w:pPr>
          </w:p>
        </w:tc>
      </w:tr>
      <w:tr w:rsidR="00FA69E7" w:rsidRPr="00FE0F27" w:rsidTr="0071208A">
        <w:tc>
          <w:tcPr>
            <w:tcW w:w="4590" w:type="dxa"/>
          </w:tcPr>
          <w:p w:rsidR="00FA69E7" w:rsidRPr="00FE0F27" w:rsidRDefault="00FA69E7" w:rsidP="00382DC9">
            <w:pPr>
              <w:jc w:val="both"/>
              <w:rPr>
                <w:sz w:val="20"/>
                <w:szCs w:val="20"/>
              </w:rPr>
            </w:pPr>
            <w:r w:rsidRPr="00FE0F27">
              <w:rPr>
                <w:sz w:val="20"/>
                <w:szCs w:val="20"/>
              </w:rPr>
              <w:t xml:space="preserve">Demilitarization of Juba and its designation as a special Arrangement Area(SAA) as agreed upon the PCTSA workshop </w:t>
            </w:r>
            <w:r w:rsidRPr="00FE0F27">
              <w:rPr>
                <w:b/>
                <w:i/>
                <w:sz w:val="20"/>
                <w:szCs w:val="20"/>
                <w:highlight w:val="yellow"/>
              </w:rPr>
              <w:t>D+30 days (beginning) D+90 (complete)</w:t>
            </w:r>
          </w:p>
        </w:tc>
        <w:tc>
          <w:tcPr>
            <w:tcW w:w="2790" w:type="dxa"/>
          </w:tcPr>
          <w:p w:rsidR="00FA69E7" w:rsidRPr="00FE0F27" w:rsidRDefault="00FA69E7" w:rsidP="00A415D3">
            <w:pPr>
              <w:rPr>
                <w:sz w:val="20"/>
                <w:szCs w:val="20"/>
              </w:rPr>
            </w:pPr>
            <w:r w:rsidRPr="00FE0F27">
              <w:rPr>
                <w:sz w:val="20"/>
                <w:szCs w:val="20"/>
              </w:rPr>
              <w:t>GRSS,</w:t>
            </w:r>
            <w:r w:rsidR="0071208A" w:rsidRPr="00FE0F27">
              <w:rPr>
                <w:sz w:val="20"/>
                <w:szCs w:val="20"/>
              </w:rPr>
              <w:t xml:space="preserve"> </w:t>
            </w:r>
            <w:r w:rsidRPr="00FE0F27">
              <w:rPr>
                <w:sz w:val="20"/>
                <w:szCs w:val="20"/>
              </w:rPr>
              <w:t>SPLM/A-IO,</w:t>
            </w:r>
            <w:r w:rsidR="0071208A" w:rsidRPr="00FE0F27">
              <w:rPr>
                <w:sz w:val="20"/>
                <w:szCs w:val="20"/>
              </w:rPr>
              <w:t xml:space="preserve"> </w:t>
            </w:r>
            <w:r w:rsidRPr="00FE0F27">
              <w:rPr>
                <w:sz w:val="20"/>
                <w:szCs w:val="20"/>
              </w:rPr>
              <w:t>CTSAMM,JOC</w:t>
            </w:r>
            <w:r w:rsidR="00A415D3" w:rsidRPr="00FE0F27">
              <w:rPr>
                <w:sz w:val="20"/>
                <w:szCs w:val="20"/>
              </w:rPr>
              <w:t>,</w:t>
            </w:r>
            <w:r w:rsidRPr="00FE0F27">
              <w:rPr>
                <w:sz w:val="20"/>
                <w:szCs w:val="20"/>
              </w:rPr>
              <w:t>UNMISS</w:t>
            </w:r>
          </w:p>
        </w:tc>
        <w:tc>
          <w:tcPr>
            <w:tcW w:w="1800" w:type="dxa"/>
          </w:tcPr>
          <w:p w:rsidR="00FA69E7" w:rsidRPr="00FE0F27" w:rsidRDefault="00FA69E7" w:rsidP="00ED1166">
            <w:pPr>
              <w:rPr>
                <w:b/>
                <w:sz w:val="20"/>
                <w:szCs w:val="20"/>
              </w:rPr>
            </w:pPr>
            <w:r w:rsidRPr="00FE0F27">
              <w:rPr>
                <w:b/>
                <w:sz w:val="20"/>
                <w:szCs w:val="20"/>
              </w:rPr>
              <w:t xml:space="preserve">Accomplished </w:t>
            </w:r>
            <w:r w:rsidRPr="00FE0F27">
              <w:rPr>
                <w:b/>
                <w:sz w:val="20"/>
                <w:szCs w:val="20"/>
                <w:highlight w:val="yellow"/>
              </w:rPr>
              <w:t>(Little)</w:t>
            </w:r>
          </w:p>
          <w:p w:rsidR="00FA69E7" w:rsidRPr="00FE0F27" w:rsidRDefault="00FA69E7" w:rsidP="00ED1166">
            <w:pPr>
              <w:rPr>
                <w:sz w:val="20"/>
                <w:szCs w:val="20"/>
              </w:rPr>
            </w:pPr>
          </w:p>
        </w:tc>
        <w:tc>
          <w:tcPr>
            <w:tcW w:w="2160" w:type="dxa"/>
            <w:tcBorders>
              <w:bottom w:val="single" w:sz="4" w:space="0" w:color="000000" w:themeColor="text1"/>
            </w:tcBorders>
            <w:shd w:val="clear" w:color="auto" w:fill="FFFFFF" w:themeFill="background1"/>
          </w:tcPr>
          <w:p w:rsidR="00FA69E7" w:rsidRPr="00FE0F27" w:rsidRDefault="00FE0F27" w:rsidP="00FE0F27">
            <w:pPr>
              <w:jc w:val="both"/>
              <w:rPr>
                <w:sz w:val="20"/>
                <w:szCs w:val="20"/>
              </w:rPr>
            </w:pPr>
            <w:r w:rsidRPr="00FE0F27">
              <w:rPr>
                <w:sz w:val="20"/>
                <w:szCs w:val="20"/>
              </w:rPr>
              <w:t xml:space="preserve">SPLA tried to act without support of IGAD </w:t>
            </w:r>
          </w:p>
        </w:tc>
        <w:tc>
          <w:tcPr>
            <w:tcW w:w="3150" w:type="dxa"/>
            <w:tcBorders>
              <w:bottom w:val="single" w:sz="4" w:space="0" w:color="000000" w:themeColor="text1"/>
            </w:tcBorders>
            <w:shd w:val="clear" w:color="auto" w:fill="FFFFFF" w:themeFill="background1"/>
          </w:tcPr>
          <w:p w:rsidR="00FA69E7" w:rsidRPr="00FE0F27" w:rsidRDefault="00FE0F27" w:rsidP="00FE0F27">
            <w:pPr>
              <w:rPr>
                <w:sz w:val="20"/>
                <w:szCs w:val="20"/>
              </w:rPr>
            </w:pPr>
            <w:r w:rsidRPr="00FE0F27">
              <w:rPr>
                <w:sz w:val="20"/>
                <w:szCs w:val="20"/>
              </w:rPr>
              <w:t xml:space="preserve">There is need for IGAD to push this faster </w:t>
            </w:r>
          </w:p>
        </w:tc>
      </w:tr>
      <w:tr w:rsidR="007B050D" w:rsidRPr="00FE0F27" w:rsidTr="003F5680">
        <w:tc>
          <w:tcPr>
            <w:tcW w:w="4590" w:type="dxa"/>
          </w:tcPr>
          <w:p w:rsidR="007B050D" w:rsidRPr="00FE0F27" w:rsidRDefault="007B050D" w:rsidP="00382DC9">
            <w:pPr>
              <w:jc w:val="both"/>
              <w:rPr>
                <w:sz w:val="20"/>
                <w:szCs w:val="20"/>
              </w:rPr>
            </w:pPr>
            <w:r w:rsidRPr="00FE0F27">
              <w:rPr>
                <w:sz w:val="20"/>
                <w:szCs w:val="20"/>
              </w:rPr>
              <w:t xml:space="preserve">Avoidance of conflict between the activities conducted by the military forces permitted to remain in Juba </w:t>
            </w:r>
            <w:r w:rsidRPr="00FE0F27">
              <w:rPr>
                <w:b/>
                <w:i/>
                <w:sz w:val="20"/>
                <w:szCs w:val="20"/>
                <w:highlight w:val="yellow"/>
              </w:rPr>
              <w:t>Continuous</w:t>
            </w:r>
          </w:p>
        </w:tc>
        <w:tc>
          <w:tcPr>
            <w:tcW w:w="2790" w:type="dxa"/>
          </w:tcPr>
          <w:p w:rsidR="007B050D" w:rsidRPr="00FE0F27" w:rsidRDefault="007B050D" w:rsidP="00382DC9">
            <w:pPr>
              <w:rPr>
                <w:sz w:val="20"/>
                <w:szCs w:val="20"/>
              </w:rPr>
            </w:pPr>
            <w:r w:rsidRPr="00FE0F27">
              <w:rPr>
                <w:sz w:val="20"/>
                <w:szCs w:val="20"/>
              </w:rPr>
              <w:t>JOC,CTSAMM</w:t>
            </w:r>
          </w:p>
        </w:tc>
        <w:tc>
          <w:tcPr>
            <w:tcW w:w="1800" w:type="dxa"/>
          </w:tcPr>
          <w:p w:rsidR="007B050D" w:rsidRPr="00FE0F27" w:rsidRDefault="007B050D" w:rsidP="00574562">
            <w:pPr>
              <w:rPr>
                <w:b/>
                <w:color w:val="FF0000"/>
                <w:sz w:val="20"/>
                <w:szCs w:val="20"/>
              </w:rPr>
            </w:pPr>
            <w:r w:rsidRPr="00FE0F27">
              <w:rPr>
                <w:b/>
                <w:color w:val="FF0000"/>
                <w:sz w:val="20"/>
                <w:szCs w:val="20"/>
              </w:rPr>
              <w:t>Not Accomplish</w:t>
            </w:r>
          </w:p>
        </w:tc>
        <w:tc>
          <w:tcPr>
            <w:tcW w:w="2160" w:type="dxa"/>
            <w:vMerge w:val="restart"/>
            <w:shd w:val="clear" w:color="auto" w:fill="FFFFFF" w:themeFill="background1"/>
          </w:tcPr>
          <w:p w:rsidR="007B050D" w:rsidRPr="00FE0F27" w:rsidRDefault="007B050D" w:rsidP="00382DC9">
            <w:pPr>
              <w:rPr>
                <w:sz w:val="20"/>
                <w:szCs w:val="20"/>
              </w:rPr>
            </w:pPr>
          </w:p>
          <w:p w:rsidR="007B050D" w:rsidRPr="00FE0F27" w:rsidRDefault="007B050D" w:rsidP="00382DC9">
            <w:pPr>
              <w:rPr>
                <w:sz w:val="20"/>
                <w:szCs w:val="20"/>
              </w:rPr>
            </w:pPr>
          </w:p>
          <w:p w:rsidR="007B050D" w:rsidRPr="00FE0F27" w:rsidRDefault="007B050D" w:rsidP="00382DC9">
            <w:pPr>
              <w:rPr>
                <w:sz w:val="20"/>
                <w:szCs w:val="20"/>
              </w:rPr>
            </w:pPr>
          </w:p>
          <w:p w:rsidR="007B050D" w:rsidRPr="00FE0F27" w:rsidRDefault="007B050D" w:rsidP="00382DC9">
            <w:pPr>
              <w:rPr>
                <w:sz w:val="20"/>
                <w:szCs w:val="20"/>
              </w:rPr>
            </w:pPr>
          </w:p>
          <w:p w:rsidR="007B050D" w:rsidRPr="00FE0F27" w:rsidRDefault="007B050D" w:rsidP="00FE0F27">
            <w:pPr>
              <w:jc w:val="both"/>
              <w:rPr>
                <w:sz w:val="20"/>
                <w:szCs w:val="20"/>
              </w:rPr>
            </w:pPr>
            <w:r w:rsidRPr="00FE0F27">
              <w:rPr>
                <w:sz w:val="20"/>
                <w:szCs w:val="20"/>
              </w:rPr>
              <w:t>Due to the delay in the acceptance of the outcomes of permanent ceasefire and security arrangement workshop minutes</w:t>
            </w:r>
          </w:p>
        </w:tc>
        <w:tc>
          <w:tcPr>
            <w:tcW w:w="3150" w:type="dxa"/>
            <w:vMerge w:val="restart"/>
            <w:shd w:val="clear" w:color="auto" w:fill="FFFFFF" w:themeFill="background1"/>
          </w:tcPr>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291A4E">
            <w:pPr>
              <w:jc w:val="both"/>
              <w:rPr>
                <w:sz w:val="20"/>
                <w:szCs w:val="20"/>
              </w:rPr>
            </w:pPr>
            <w:r w:rsidRPr="00FE0F27">
              <w:rPr>
                <w:sz w:val="20"/>
                <w:szCs w:val="20"/>
              </w:rPr>
              <w:t>There is need for non  politicization of the implementation</w:t>
            </w:r>
          </w:p>
        </w:tc>
      </w:tr>
      <w:tr w:rsidR="007B050D" w:rsidRPr="00FE0F27" w:rsidTr="003F5680">
        <w:tc>
          <w:tcPr>
            <w:tcW w:w="4590" w:type="dxa"/>
          </w:tcPr>
          <w:p w:rsidR="007B050D" w:rsidRPr="00FE0F27" w:rsidRDefault="007B050D" w:rsidP="00382DC9">
            <w:pPr>
              <w:jc w:val="both"/>
              <w:rPr>
                <w:sz w:val="20"/>
                <w:szCs w:val="20"/>
              </w:rPr>
            </w:pPr>
            <w:r w:rsidRPr="00FE0F27">
              <w:rPr>
                <w:sz w:val="20"/>
                <w:szCs w:val="20"/>
              </w:rPr>
              <w:t xml:space="preserve">Establish and deploy neutral Transitional Third Party security </w:t>
            </w:r>
            <w:r w:rsidRPr="00FE0F27">
              <w:rPr>
                <w:b/>
                <w:i/>
                <w:sz w:val="20"/>
                <w:szCs w:val="20"/>
                <w:highlight w:val="yellow"/>
              </w:rPr>
              <w:t>D+90 days</w:t>
            </w:r>
          </w:p>
        </w:tc>
        <w:tc>
          <w:tcPr>
            <w:tcW w:w="2790" w:type="dxa"/>
          </w:tcPr>
          <w:p w:rsidR="007B050D" w:rsidRPr="00FE0F27" w:rsidRDefault="007B050D" w:rsidP="00382DC9">
            <w:pPr>
              <w:rPr>
                <w:sz w:val="20"/>
                <w:szCs w:val="20"/>
              </w:rPr>
            </w:pPr>
            <w:r w:rsidRPr="00FE0F27">
              <w:rPr>
                <w:sz w:val="20"/>
                <w:szCs w:val="20"/>
              </w:rPr>
              <w:t>IGAD,AU or UNMISS</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3F5680">
        <w:tc>
          <w:tcPr>
            <w:tcW w:w="4590" w:type="dxa"/>
          </w:tcPr>
          <w:p w:rsidR="007B050D" w:rsidRPr="00FE0F27" w:rsidRDefault="007B050D" w:rsidP="00382DC9">
            <w:pPr>
              <w:jc w:val="both"/>
              <w:rPr>
                <w:sz w:val="20"/>
                <w:szCs w:val="20"/>
              </w:rPr>
            </w:pPr>
            <w:r w:rsidRPr="00FE0F27">
              <w:rPr>
                <w:sz w:val="20"/>
                <w:szCs w:val="20"/>
              </w:rPr>
              <w:t xml:space="preserve">Unit (TTPSU)( Two three battalions and rotating every 15 months). To secure and protect the leadership of TGoNU and any other person/institution identified by the parties as demand vulnerable </w:t>
            </w:r>
            <w:r w:rsidRPr="00FE0F27">
              <w:rPr>
                <w:b/>
                <w:i/>
                <w:sz w:val="20"/>
                <w:szCs w:val="20"/>
                <w:highlight w:val="yellow"/>
              </w:rPr>
              <w:t>D+90days</w:t>
            </w:r>
          </w:p>
        </w:tc>
        <w:tc>
          <w:tcPr>
            <w:tcW w:w="2790" w:type="dxa"/>
          </w:tcPr>
          <w:p w:rsidR="007B050D" w:rsidRPr="00FE0F27" w:rsidRDefault="007B050D" w:rsidP="00382DC9">
            <w:pPr>
              <w:rPr>
                <w:sz w:val="20"/>
                <w:szCs w:val="20"/>
              </w:rPr>
            </w:pPr>
            <w:r w:rsidRPr="00FE0F27">
              <w:rPr>
                <w:sz w:val="20"/>
                <w:szCs w:val="20"/>
              </w:rPr>
              <w:t xml:space="preserve">Stakeholders </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3F5680">
        <w:tc>
          <w:tcPr>
            <w:tcW w:w="4590" w:type="dxa"/>
          </w:tcPr>
          <w:p w:rsidR="007B050D" w:rsidRPr="00FE0F27" w:rsidRDefault="007B050D" w:rsidP="00382DC9">
            <w:pPr>
              <w:rPr>
                <w:sz w:val="20"/>
                <w:szCs w:val="20"/>
              </w:rPr>
            </w:pPr>
            <w:r w:rsidRPr="00FE0F27">
              <w:rPr>
                <w:sz w:val="20"/>
                <w:szCs w:val="20"/>
              </w:rPr>
              <w:t xml:space="preserve">Formation of multi-stakeholders Strategic Defence and security Review (SDSR) Board  </w:t>
            </w:r>
            <w:r w:rsidRPr="00FE0F27">
              <w:rPr>
                <w:b/>
                <w:i/>
                <w:sz w:val="20"/>
                <w:szCs w:val="20"/>
                <w:highlight w:val="yellow"/>
              </w:rPr>
              <w:t>D+90days</w:t>
            </w:r>
          </w:p>
        </w:tc>
        <w:tc>
          <w:tcPr>
            <w:tcW w:w="2790" w:type="dxa"/>
          </w:tcPr>
          <w:p w:rsidR="007B050D" w:rsidRPr="00FE0F27" w:rsidRDefault="007B050D" w:rsidP="00382DC9">
            <w:pPr>
              <w:rPr>
                <w:sz w:val="20"/>
                <w:szCs w:val="20"/>
              </w:rPr>
            </w:pP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3F5680">
        <w:tc>
          <w:tcPr>
            <w:tcW w:w="4590" w:type="dxa"/>
          </w:tcPr>
          <w:p w:rsidR="007B050D" w:rsidRPr="00FE0F27" w:rsidRDefault="007B050D" w:rsidP="00382DC9">
            <w:pPr>
              <w:jc w:val="both"/>
              <w:rPr>
                <w:sz w:val="20"/>
                <w:szCs w:val="20"/>
              </w:rPr>
            </w:pPr>
            <w:r w:rsidRPr="00FE0F27">
              <w:rPr>
                <w:sz w:val="20"/>
                <w:szCs w:val="20"/>
              </w:rPr>
              <w:t xml:space="preserve">Comprehensive assessment of the requirements of  South Sudan’s national army including the future command, function, size, composition and budget of south Sudan’s national army and security forces and DDR requirements </w:t>
            </w:r>
            <w:r w:rsidRPr="00FE0F27">
              <w:rPr>
                <w:b/>
                <w:i/>
                <w:sz w:val="20"/>
                <w:szCs w:val="20"/>
                <w:highlight w:val="yellow"/>
              </w:rPr>
              <w:t>D+120 days</w:t>
            </w:r>
          </w:p>
        </w:tc>
        <w:tc>
          <w:tcPr>
            <w:tcW w:w="2790" w:type="dxa"/>
          </w:tcPr>
          <w:p w:rsidR="007B050D" w:rsidRPr="00FE0F27" w:rsidRDefault="007B050D" w:rsidP="00382DC9">
            <w:pPr>
              <w:rPr>
                <w:sz w:val="20"/>
                <w:szCs w:val="20"/>
              </w:rPr>
            </w:pPr>
            <w:r w:rsidRPr="00FE0F27">
              <w:rPr>
                <w:sz w:val="20"/>
                <w:szCs w:val="20"/>
              </w:rPr>
              <w:t>SDRS</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71208A">
        <w:tc>
          <w:tcPr>
            <w:tcW w:w="4590" w:type="dxa"/>
          </w:tcPr>
          <w:p w:rsidR="007B050D" w:rsidRPr="00FE0F27" w:rsidRDefault="007B050D" w:rsidP="00382DC9">
            <w:pPr>
              <w:jc w:val="both"/>
              <w:rPr>
                <w:sz w:val="20"/>
                <w:szCs w:val="20"/>
              </w:rPr>
            </w:pPr>
            <w:r w:rsidRPr="00FE0F27">
              <w:rPr>
                <w:sz w:val="20"/>
                <w:szCs w:val="20"/>
              </w:rPr>
              <w:t xml:space="preserve">Examine the military and non-military security challenges, identification of specific role and missions of the national army, and outlining a vision for its unification and modernization. Provision of the </w:t>
            </w:r>
            <w:r w:rsidRPr="00FE0F27">
              <w:rPr>
                <w:sz w:val="20"/>
                <w:szCs w:val="20"/>
              </w:rPr>
              <w:lastRenderedPageBreak/>
              <w:t xml:space="preserve">Roadmap for the Security sector reform  </w:t>
            </w:r>
            <w:r w:rsidRPr="00FE0F27">
              <w:rPr>
                <w:b/>
                <w:i/>
                <w:sz w:val="20"/>
                <w:szCs w:val="20"/>
                <w:highlight w:val="yellow"/>
              </w:rPr>
              <w:t>D+150 days</w:t>
            </w:r>
          </w:p>
        </w:tc>
        <w:tc>
          <w:tcPr>
            <w:tcW w:w="2790" w:type="dxa"/>
          </w:tcPr>
          <w:p w:rsidR="007B050D" w:rsidRPr="00FE0F27" w:rsidRDefault="007B050D" w:rsidP="00382DC9">
            <w:pPr>
              <w:rPr>
                <w:sz w:val="20"/>
                <w:szCs w:val="20"/>
              </w:rPr>
            </w:pPr>
            <w:r w:rsidRPr="00FE0F27">
              <w:rPr>
                <w:sz w:val="20"/>
                <w:szCs w:val="20"/>
              </w:rPr>
              <w:lastRenderedPageBreak/>
              <w:t>SDRS</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tcBorders>
              <w:bottom w:val="single" w:sz="4" w:space="0" w:color="000000" w:themeColor="text1"/>
            </w:tcBorders>
            <w:shd w:val="clear" w:color="auto" w:fill="FFFFFF" w:themeFill="background1"/>
          </w:tcPr>
          <w:p w:rsidR="007B050D" w:rsidRPr="00FE0F27" w:rsidRDefault="007B050D" w:rsidP="00382DC9">
            <w:pPr>
              <w:rPr>
                <w:sz w:val="20"/>
                <w:szCs w:val="20"/>
              </w:rPr>
            </w:pPr>
          </w:p>
        </w:tc>
      </w:tr>
      <w:tr w:rsidR="007B050D" w:rsidRPr="00FE0F27" w:rsidTr="00D908F3">
        <w:tc>
          <w:tcPr>
            <w:tcW w:w="4590" w:type="dxa"/>
          </w:tcPr>
          <w:p w:rsidR="007B050D" w:rsidRPr="00FE0F27" w:rsidRDefault="007B050D" w:rsidP="00382DC9">
            <w:pPr>
              <w:jc w:val="both"/>
              <w:rPr>
                <w:sz w:val="20"/>
                <w:szCs w:val="20"/>
              </w:rPr>
            </w:pPr>
            <w:r w:rsidRPr="00FE0F27">
              <w:rPr>
                <w:sz w:val="20"/>
                <w:szCs w:val="20"/>
              </w:rPr>
              <w:lastRenderedPageBreak/>
              <w:t xml:space="preserve">Presentation of the results/findings of the Strategic Defence and Security Review (SDRS) to the political  leadership for evaluation as well as for approval by the council of Ministers and the Transitional National Assembly </w:t>
            </w:r>
            <w:r w:rsidRPr="00FE0F27">
              <w:rPr>
                <w:b/>
                <w:i/>
                <w:sz w:val="20"/>
                <w:szCs w:val="20"/>
                <w:highlight w:val="yellow"/>
              </w:rPr>
              <w:t>D+180 days</w:t>
            </w:r>
          </w:p>
        </w:tc>
        <w:tc>
          <w:tcPr>
            <w:tcW w:w="2790" w:type="dxa"/>
          </w:tcPr>
          <w:p w:rsidR="007B050D" w:rsidRPr="00FE0F27" w:rsidRDefault="007B050D" w:rsidP="00382DC9">
            <w:pPr>
              <w:rPr>
                <w:sz w:val="20"/>
                <w:szCs w:val="20"/>
              </w:rPr>
            </w:pPr>
            <w:r w:rsidRPr="00FE0F27">
              <w:rPr>
                <w:sz w:val="20"/>
                <w:szCs w:val="20"/>
              </w:rPr>
              <w:t xml:space="preserve">SDSR Board, TGoNU and JMEC </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val="restart"/>
            <w:shd w:val="clear" w:color="auto" w:fill="FFFFFF" w:themeFill="background1"/>
          </w:tcPr>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7B050D">
            <w:pPr>
              <w:jc w:val="both"/>
              <w:rPr>
                <w:sz w:val="20"/>
                <w:szCs w:val="20"/>
              </w:rPr>
            </w:pPr>
          </w:p>
          <w:p w:rsidR="007B050D" w:rsidRPr="00FE0F27" w:rsidRDefault="007B050D" w:rsidP="00291A4E">
            <w:pPr>
              <w:jc w:val="both"/>
              <w:rPr>
                <w:sz w:val="20"/>
                <w:szCs w:val="20"/>
              </w:rPr>
            </w:pPr>
            <w:r w:rsidRPr="00FE0F27">
              <w:rPr>
                <w:sz w:val="20"/>
                <w:szCs w:val="20"/>
              </w:rPr>
              <w:t>There is need for non  politicization of the implementation</w:t>
            </w:r>
          </w:p>
        </w:tc>
      </w:tr>
      <w:tr w:rsidR="007B050D" w:rsidRPr="00FE0F27" w:rsidTr="0071208A">
        <w:tc>
          <w:tcPr>
            <w:tcW w:w="4590" w:type="dxa"/>
          </w:tcPr>
          <w:p w:rsidR="007B050D" w:rsidRPr="00FE0F27" w:rsidRDefault="007B050D" w:rsidP="00382DC9">
            <w:pPr>
              <w:rPr>
                <w:sz w:val="20"/>
                <w:szCs w:val="20"/>
              </w:rPr>
            </w:pPr>
            <w:r w:rsidRPr="00FE0F27">
              <w:rPr>
                <w:sz w:val="20"/>
                <w:szCs w:val="20"/>
              </w:rPr>
              <w:t xml:space="preserve">Implementation of the SDSR results </w:t>
            </w:r>
            <w:r w:rsidRPr="00FE0F27">
              <w:rPr>
                <w:b/>
                <w:i/>
                <w:sz w:val="20"/>
                <w:szCs w:val="20"/>
                <w:highlight w:val="yellow"/>
              </w:rPr>
              <w:t>within 18 months of the agreement</w:t>
            </w:r>
          </w:p>
        </w:tc>
        <w:tc>
          <w:tcPr>
            <w:tcW w:w="2790" w:type="dxa"/>
          </w:tcPr>
          <w:p w:rsidR="007B050D" w:rsidRPr="00FE0F27" w:rsidRDefault="007B050D" w:rsidP="00382DC9">
            <w:pPr>
              <w:rPr>
                <w:sz w:val="20"/>
                <w:szCs w:val="20"/>
              </w:rPr>
            </w:pPr>
            <w:r w:rsidRPr="00FE0F27">
              <w:rPr>
                <w:sz w:val="20"/>
                <w:szCs w:val="20"/>
              </w:rPr>
              <w:t>TGoNU</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F802AA">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71208A">
        <w:tc>
          <w:tcPr>
            <w:tcW w:w="4590" w:type="dxa"/>
          </w:tcPr>
          <w:p w:rsidR="007B050D" w:rsidRPr="00FE0F27" w:rsidRDefault="007B050D" w:rsidP="00382DC9">
            <w:pPr>
              <w:jc w:val="both"/>
              <w:rPr>
                <w:sz w:val="20"/>
                <w:szCs w:val="20"/>
              </w:rPr>
            </w:pPr>
            <w:r w:rsidRPr="00FE0F27">
              <w:rPr>
                <w:sz w:val="20"/>
                <w:szCs w:val="20"/>
              </w:rPr>
              <w:t xml:space="preserve">Formation of unified nucleus of all military and security forces in accordance with the recommendations of the SDSR Board  </w:t>
            </w:r>
            <w:r w:rsidRPr="00FE0F27">
              <w:rPr>
                <w:b/>
                <w:i/>
                <w:sz w:val="20"/>
                <w:szCs w:val="20"/>
                <w:highlight w:val="yellow"/>
              </w:rPr>
              <w:t>4-12 months of the agreement</w:t>
            </w:r>
          </w:p>
        </w:tc>
        <w:tc>
          <w:tcPr>
            <w:tcW w:w="2790" w:type="dxa"/>
          </w:tcPr>
          <w:p w:rsidR="007B050D" w:rsidRPr="00FE0F27" w:rsidRDefault="007B050D" w:rsidP="00382DC9">
            <w:pPr>
              <w:rPr>
                <w:sz w:val="20"/>
                <w:szCs w:val="20"/>
              </w:rPr>
            </w:pPr>
            <w:r w:rsidRPr="00FE0F27">
              <w:rPr>
                <w:sz w:val="20"/>
                <w:szCs w:val="20"/>
              </w:rPr>
              <w:t>TGoNU,</w:t>
            </w:r>
          </w:p>
          <w:p w:rsidR="007B050D" w:rsidRPr="00FE0F27" w:rsidRDefault="007B050D" w:rsidP="00382DC9">
            <w:pPr>
              <w:rPr>
                <w:sz w:val="20"/>
                <w:szCs w:val="20"/>
              </w:rPr>
            </w:pPr>
            <w:r w:rsidRPr="00FE0F27">
              <w:rPr>
                <w:sz w:val="20"/>
                <w:szCs w:val="20"/>
              </w:rPr>
              <w:t>CTSAMM</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D908F3">
        <w:tc>
          <w:tcPr>
            <w:tcW w:w="4590" w:type="dxa"/>
          </w:tcPr>
          <w:p w:rsidR="007B050D" w:rsidRPr="00FE0F27" w:rsidRDefault="007B050D" w:rsidP="00382DC9">
            <w:pPr>
              <w:jc w:val="both"/>
              <w:rPr>
                <w:sz w:val="20"/>
                <w:szCs w:val="20"/>
              </w:rPr>
            </w:pPr>
            <w:r w:rsidRPr="00FE0F27">
              <w:rPr>
                <w:sz w:val="20"/>
                <w:szCs w:val="20"/>
              </w:rPr>
              <w:t xml:space="preserve">Complete unification of national army and security forces, fully constituted and unified under a single command. Disbandment of Joint military/security forces coordination structures   </w:t>
            </w:r>
            <w:r w:rsidRPr="00FE0F27">
              <w:rPr>
                <w:b/>
                <w:i/>
                <w:sz w:val="20"/>
                <w:szCs w:val="20"/>
                <w:highlight w:val="yellow"/>
              </w:rPr>
              <w:t>D+18 months</w:t>
            </w:r>
          </w:p>
        </w:tc>
        <w:tc>
          <w:tcPr>
            <w:tcW w:w="2790" w:type="dxa"/>
          </w:tcPr>
          <w:p w:rsidR="007B050D" w:rsidRPr="00FE0F27" w:rsidRDefault="007B050D" w:rsidP="00382DC9">
            <w:pPr>
              <w:rPr>
                <w:sz w:val="20"/>
                <w:szCs w:val="20"/>
              </w:rPr>
            </w:pPr>
            <w:r w:rsidRPr="00FE0F27">
              <w:rPr>
                <w:sz w:val="20"/>
                <w:szCs w:val="20"/>
              </w:rPr>
              <w:t>TGoNU guided by SDSR</w:t>
            </w:r>
          </w:p>
        </w:tc>
        <w:tc>
          <w:tcPr>
            <w:tcW w:w="1800" w:type="dxa"/>
          </w:tcPr>
          <w:p w:rsidR="007B050D" w:rsidRPr="00FE0F27" w:rsidRDefault="007B050D" w:rsidP="00574562">
            <w:pPr>
              <w:rPr>
                <w:color w:val="FF0000"/>
                <w:sz w:val="20"/>
                <w:szCs w:val="20"/>
              </w:rPr>
            </w:pPr>
            <w:r w:rsidRPr="00FE0F27">
              <w:rPr>
                <w:b/>
                <w:color w:val="FF0000"/>
                <w:sz w:val="20"/>
                <w:szCs w:val="20"/>
              </w:rPr>
              <w:t>Not Accomplish</w:t>
            </w:r>
          </w:p>
        </w:tc>
        <w:tc>
          <w:tcPr>
            <w:tcW w:w="2160" w:type="dxa"/>
            <w:vMerge/>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B050D" w:rsidRPr="00FE0F27" w:rsidTr="0071208A">
        <w:tc>
          <w:tcPr>
            <w:tcW w:w="4590" w:type="dxa"/>
          </w:tcPr>
          <w:p w:rsidR="007B050D" w:rsidRPr="00FE0F27" w:rsidRDefault="007B050D" w:rsidP="00382DC9">
            <w:pPr>
              <w:jc w:val="both"/>
              <w:rPr>
                <w:sz w:val="20"/>
                <w:szCs w:val="20"/>
              </w:rPr>
            </w:pPr>
            <w:r w:rsidRPr="00FE0F27">
              <w:rPr>
                <w:sz w:val="20"/>
                <w:szCs w:val="20"/>
              </w:rPr>
              <w:t xml:space="preserve">Creation of enabling political and legal environment for humanitarian action. </w:t>
            </w:r>
            <w:r w:rsidRPr="00FE0F27">
              <w:rPr>
                <w:b/>
                <w:i/>
                <w:sz w:val="20"/>
                <w:szCs w:val="20"/>
                <w:highlight w:val="yellow"/>
              </w:rPr>
              <w:t>Upon signing of this agreement and throughout the pre – Transition period</w:t>
            </w:r>
            <w:r w:rsidRPr="00FE0F27">
              <w:rPr>
                <w:b/>
                <w:i/>
                <w:sz w:val="20"/>
                <w:szCs w:val="20"/>
              </w:rPr>
              <w:t>.</w:t>
            </w:r>
          </w:p>
        </w:tc>
        <w:tc>
          <w:tcPr>
            <w:tcW w:w="2790" w:type="dxa"/>
          </w:tcPr>
          <w:p w:rsidR="007B050D" w:rsidRPr="00FE0F27" w:rsidRDefault="007B050D" w:rsidP="00382DC9">
            <w:pPr>
              <w:rPr>
                <w:sz w:val="20"/>
                <w:szCs w:val="20"/>
              </w:rPr>
            </w:pPr>
            <w:r w:rsidRPr="00FE0F27">
              <w:rPr>
                <w:sz w:val="20"/>
                <w:szCs w:val="20"/>
              </w:rPr>
              <w:t>SPLA forces and SPLM/A- IO forces.</w:t>
            </w:r>
          </w:p>
        </w:tc>
        <w:tc>
          <w:tcPr>
            <w:tcW w:w="1800" w:type="dxa"/>
          </w:tcPr>
          <w:p w:rsidR="007B050D" w:rsidRPr="00FE0F27" w:rsidRDefault="007B050D" w:rsidP="00ED1166">
            <w:pPr>
              <w:rPr>
                <w:color w:val="FF0000"/>
                <w:sz w:val="20"/>
                <w:szCs w:val="20"/>
              </w:rPr>
            </w:pPr>
            <w:r w:rsidRPr="00FE0F27">
              <w:rPr>
                <w:b/>
                <w:color w:val="FF0000"/>
                <w:sz w:val="20"/>
                <w:szCs w:val="20"/>
              </w:rPr>
              <w:t>Not Accomplish</w:t>
            </w:r>
          </w:p>
          <w:p w:rsidR="007B050D" w:rsidRPr="00FE0F27" w:rsidRDefault="007B050D" w:rsidP="00ED1166">
            <w:pPr>
              <w:rPr>
                <w:color w:val="FF0000"/>
                <w:sz w:val="20"/>
                <w:szCs w:val="20"/>
              </w:rPr>
            </w:pPr>
          </w:p>
        </w:tc>
        <w:tc>
          <w:tcPr>
            <w:tcW w:w="2160" w:type="dxa"/>
            <w:vMerge/>
            <w:tcBorders>
              <w:bottom w:val="single" w:sz="4" w:space="0" w:color="000000" w:themeColor="text1"/>
            </w:tcBorders>
            <w:shd w:val="clear" w:color="auto" w:fill="FFFFFF" w:themeFill="background1"/>
          </w:tcPr>
          <w:p w:rsidR="007B050D" w:rsidRPr="00FE0F27" w:rsidRDefault="007B050D" w:rsidP="00382DC9">
            <w:pPr>
              <w:rPr>
                <w:sz w:val="20"/>
                <w:szCs w:val="20"/>
              </w:rPr>
            </w:pPr>
          </w:p>
        </w:tc>
        <w:tc>
          <w:tcPr>
            <w:tcW w:w="3150" w:type="dxa"/>
            <w:vMerge/>
            <w:shd w:val="clear" w:color="auto" w:fill="FFFFFF" w:themeFill="background1"/>
          </w:tcPr>
          <w:p w:rsidR="007B050D" w:rsidRPr="00FE0F27" w:rsidRDefault="007B050D" w:rsidP="00382DC9">
            <w:pPr>
              <w:rPr>
                <w:sz w:val="20"/>
                <w:szCs w:val="20"/>
              </w:rPr>
            </w:pPr>
          </w:p>
        </w:tc>
      </w:tr>
      <w:tr w:rsidR="0071208A" w:rsidRPr="00FE0F27" w:rsidTr="0071208A">
        <w:tc>
          <w:tcPr>
            <w:tcW w:w="4590" w:type="dxa"/>
          </w:tcPr>
          <w:p w:rsidR="0071208A" w:rsidRPr="00FE0F27" w:rsidRDefault="0071208A" w:rsidP="00382DC9">
            <w:pPr>
              <w:autoSpaceDE w:val="0"/>
              <w:autoSpaceDN w:val="0"/>
              <w:adjustRightInd w:val="0"/>
              <w:rPr>
                <w:rFonts w:cs="TimesNewRomanPSMT"/>
                <w:sz w:val="20"/>
                <w:szCs w:val="20"/>
              </w:rPr>
            </w:pPr>
            <w:r w:rsidRPr="00FE0F27">
              <w:rPr>
                <w:rFonts w:cs="TimesNewRomanPSMT"/>
                <w:sz w:val="20"/>
                <w:szCs w:val="20"/>
              </w:rPr>
              <w:t>Establishment of JMEC and its</w:t>
            </w:r>
          </w:p>
          <w:p w:rsidR="0071208A" w:rsidRPr="00FE0F27" w:rsidRDefault="0071208A" w:rsidP="00382DC9">
            <w:pPr>
              <w:autoSpaceDE w:val="0"/>
              <w:autoSpaceDN w:val="0"/>
              <w:adjustRightInd w:val="0"/>
              <w:jc w:val="both"/>
              <w:rPr>
                <w:rFonts w:cs="TimesNewRomanPSMT"/>
                <w:b/>
                <w:i/>
                <w:sz w:val="20"/>
                <w:szCs w:val="20"/>
                <w:highlight w:val="yellow"/>
              </w:rPr>
            </w:pPr>
            <w:r w:rsidRPr="00FE0F27">
              <w:rPr>
                <w:rFonts w:cs="TimesNewRomanPSMT"/>
                <w:sz w:val="20"/>
                <w:szCs w:val="20"/>
              </w:rPr>
              <w:t xml:space="preserve">Secretariat. </w:t>
            </w:r>
            <w:r w:rsidRPr="00FE0F27">
              <w:rPr>
                <w:rFonts w:cs="TimesNewRomanPSMT"/>
                <w:b/>
                <w:i/>
                <w:sz w:val="20"/>
                <w:szCs w:val="20"/>
                <w:highlight w:val="yellow"/>
              </w:rPr>
              <w:t>Within 15 days of</w:t>
            </w:r>
          </w:p>
          <w:p w:rsidR="0071208A" w:rsidRPr="00FE0F27" w:rsidRDefault="0071208A" w:rsidP="00382DC9">
            <w:pPr>
              <w:autoSpaceDE w:val="0"/>
              <w:autoSpaceDN w:val="0"/>
              <w:adjustRightInd w:val="0"/>
              <w:jc w:val="both"/>
              <w:rPr>
                <w:rFonts w:cs="TimesNewRomanPSMT"/>
                <w:sz w:val="20"/>
                <w:szCs w:val="20"/>
              </w:rPr>
            </w:pPr>
            <w:r w:rsidRPr="00FE0F27">
              <w:rPr>
                <w:rFonts w:cs="TimesNewRomanPSMT"/>
                <w:b/>
                <w:i/>
                <w:sz w:val="20"/>
                <w:szCs w:val="20"/>
                <w:highlight w:val="yellow"/>
              </w:rPr>
              <w:t>the signing of this Agreement</w:t>
            </w:r>
          </w:p>
        </w:tc>
        <w:tc>
          <w:tcPr>
            <w:tcW w:w="2790" w:type="dxa"/>
          </w:tcPr>
          <w:p w:rsidR="0071208A" w:rsidRPr="00FE0F27" w:rsidRDefault="0071208A" w:rsidP="0071208A">
            <w:pPr>
              <w:autoSpaceDE w:val="0"/>
              <w:autoSpaceDN w:val="0"/>
              <w:adjustRightInd w:val="0"/>
              <w:jc w:val="both"/>
              <w:rPr>
                <w:rFonts w:cs="TimesNewRomanPSMT"/>
                <w:sz w:val="20"/>
                <w:szCs w:val="20"/>
              </w:rPr>
            </w:pPr>
            <w:r w:rsidRPr="00FE0F27">
              <w:rPr>
                <w:rFonts w:cs="TimesNewRomanPSMT"/>
                <w:sz w:val="20"/>
                <w:szCs w:val="20"/>
              </w:rPr>
              <w:t>GRSS, South Sudan, Armed Opposition, other Political</w:t>
            </w:r>
          </w:p>
          <w:p w:rsidR="0071208A" w:rsidRPr="00FE0F27" w:rsidRDefault="0071208A" w:rsidP="0071208A">
            <w:pPr>
              <w:autoSpaceDE w:val="0"/>
              <w:autoSpaceDN w:val="0"/>
              <w:adjustRightInd w:val="0"/>
              <w:jc w:val="both"/>
              <w:rPr>
                <w:rFonts w:cs="TimesNewRomanPSMT"/>
                <w:sz w:val="20"/>
                <w:szCs w:val="20"/>
              </w:rPr>
            </w:pPr>
            <w:r w:rsidRPr="00FE0F27">
              <w:rPr>
                <w:rFonts w:cs="TimesNewRomanPSMT"/>
                <w:sz w:val="20"/>
                <w:szCs w:val="20"/>
              </w:rPr>
              <w:t>Parties, Former Detainees, Faith-Based Leaders, Women's bloc</w:t>
            </w:r>
            <w:r w:rsidR="00A415D3" w:rsidRPr="00FE0F27">
              <w:rPr>
                <w:rFonts w:cs="TimesNewRomanPSMT"/>
                <w:sz w:val="20"/>
                <w:szCs w:val="20"/>
              </w:rPr>
              <w:t xml:space="preserve"> </w:t>
            </w:r>
            <w:r w:rsidRPr="00FE0F27">
              <w:rPr>
                <w:rFonts w:cs="TimesNewRomanPSMT"/>
                <w:sz w:val="20"/>
                <w:szCs w:val="20"/>
              </w:rPr>
              <w:t>,CSOs, Eminent personalities, Business groups,</w:t>
            </w:r>
          </w:p>
          <w:p w:rsidR="0071208A" w:rsidRPr="00FE0F27" w:rsidRDefault="0071208A" w:rsidP="0071208A">
            <w:pPr>
              <w:autoSpaceDE w:val="0"/>
              <w:autoSpaceDN w:val="0"/>
              <w:adjustRightInd w:val="0"/>
              <w:jc w:val="both"/>
              <w:rPr>
                <w:rFonts w:cs="TimesNewRomanPSMT"/>
                <w:sz w:val="20"/>
                <w:szCs w:val="20"/>
              </w:rPr>
            </w:pPr>
            <w:r w:rsidRPr="00FE0F27">
              <w:rPr>
                <w:rFonts w:cs="TimesNewRomanPSMT"/>
                <w:sz w:val="20"/>
                <w:szCs w:val="20"/>
              </w:rPr>
              <w:t>Youth, Ethiopia, Djibouti,</w:t>
            </w:r>
          </w:p>
          <w:p w:rsidR="0071208A" w:rsidRPr="00FE0F27" w:rsidRDefault="0071208A" w:rsidP="0071208A">
            <w:pPr>
              <w:autoSpaceDE w:val="0"/>
              <w:autoSpaceDN w:val="0"/>
              <w:adjustRightInd w:val="0"/>
              <w:jc w:val="both"/>
              <w:rPr>
                <w:rFonts w:cs="TimesNewRomanPSMT"/>
                <w:sz w:val="20"/>
                <w:szCs w:val="20"/>
              </w:rPr>
            </w:pPr>
            <w:r w:rsidRPr="00FE0F27">
              <w:rPr>
                <w:rFonts w:cs="TimesNewRomanPSMT"/>
                <w:sz w:val="20"/>
                <w:szCs w:val="20"/>
              </w:rPr>
              <w:t>Kenya, Somalia, Sudan, Uganda, Five African Regions (1), AU, China, Norway, UK, US, UN, EU and IPF</w:t>
            </w:r>
          </w:p>
        </w:tc>
        <w:tc>
          <w:tcPr>
            <w:tcW w:w="1800" w:type="dxa"/>
          </w:tcPr>
          <w:p w:rsidR="0071208A" w:rsidRPr="00FE0F27" w:rsidRDefault="0071208A" w:rsidP="00ED1166">
            <w:pPr>
              <w:rPr>
                <w:b/>
                <w:sz w:val="20"/>
                <w:szCs w:val="20"/>
              </w:rPr>
            </w:pPr>
            <w:r w:rsidRPr="00FE0F27">
              <w:rPr>
                <w:b/>
                <w:sz w:val="20"/>
                <w:szCs w:val="20"/>
              </w:rPr>
              <w:t>Accomplished</w:t>
            </w:r>
          </w:p>
          <w:p w:rsidR="0071208A" w:rsidRPr="00FE0F27" w:rsidRDefault="0071208A" w:rsidP="00ED1166">
            <w:pPr>
              <w:rPr>
                <w:sz w:val="20"/>
                <w:szCs w:val="20"/>
              </w:rPr>
            </w:pPr>
          </w:p>
        </w:tc>
        <w:tc>
          <w:tcPr>
            <w:tcW w:w="2160" w:type="dxa"/>
            <w:tcBorders>
              <w:bottom w:val="single" w:sz="4" w:space="0" w:color="000000" w:themeColor="text1"/>
            </w:tcBorders>
            <w:shd w:val="clear" w:color="auto" w:fill="FFFFFF" w:themeFill="background1"/>
          </w:tcPr>
          <w:p w:rsidR="0071208A" w:rsidRPr="00FE0F27" w:rsidRDefault="00FE0F27" w:rsidP="00382DC9">
            <w:pPr>
              <w:rPr>
                <w:sz w:val="20"/>
                <w:szCs w:val="20"/>
              </w:rPr>
            </w:pPr>
            <w:r w:rsidRPr="00FE0F27">
              <w:rPr>
                <w:sz w:val="20"/>
                <w:szCs w:val="20"/>
              </w:rPr>
              <w:t xml:space="preserve">The leadership of the JMEC is move slow  </w:t>
            </w:r>
          </w:p>
        </w:tc>
        <w:tc>
          <w:tcPr>
            <w:tcW w:w="3150" w:type="dxa"/>
            <w:tcBorders>
              <w:bottom w:val="single" w:sz="4" w:space="0" w:color="000000" w:themeColor="text1"/>
            </w:tcBorders>
            <w:shd w:val="clear" w:color="auto" w:fill="FFFFFF" w:themeFill="background1"/>
          </w:tcPr>
          <w:p w:rsidR="0071208A" w:rsidRPr="00FE0F27" w:rsidRDefault="00FE0F27" w:rsidP="00FE0F27">
            <w:pPr>
              <w:jc w:val="both"/>
              <w:rPr>
                <w:sz w:val="20"/>
                <w:szCs w:val="20"/>
              </w:rPr>
            </w:pPr>
            <w:r w:rsidRPr="00FE0F27">
              <w:rPr>
                <w:sz w:val="20"/>
                <w:szCs w:val="20"/>
              </w:rPr>
              <w:t xml:space="preserve">There is need for the JMEC to speed up their set up for administering the implementation of the peace  agreement </w:t>
            </w:r>
          </w:p>
        </w:tc>
      </w:tr>
      <w:tr w:rsidR="0071208A" w:rsidRPr="00FE0F27" w:rsidTr="0071208A">
        <w:tc>
          <w:tcPr>
            <w:tcW w:w="4590" w:type="dxa"/>
          </w:tcPr>
          <w:p w:rsidR="0071208A" w:rsidRPr="00FE0F27" w:rsidRDefault="0071208A" w:rsidP="00A415D3">
            <w:pPr>
              <w:autoSpaceDE w:val="0"/>
              <w:autoSpaceDN w:val="0"/>
              <w:adjustRightInd w:val="0"/>
              <w:jc w:val="both"/>
              <w:rPr>
                <w:rFonts w:ascii="TimesNewRomanPSMT" w:hAnsi="TimesNewRomanPSMT" w:cs="TimesNewRomanPSMT"/>
                <w:sz w:val="20"/>
                <w:szCs w:val="20"/>
              </w:rPr>
            </w:pPr>
            <w:r w:rsidRPr="00FE0F27">
              <w:rPr>
                <w:rFonts w:ascii="TimesNewRomanPSMT" w:hAnsi="TimesNewRomanPSMT" w:cs="TimesNewRomanPSMT"/>
                <w:sz w:val="20"/>
                <w:szCs w:val="20"/>
              </w:rPr>
              <w:t xml:space="preserve">JMEC meetings </w:t>
            </w:r>
            <w:r w:rsidRPr="00FE0F27">
              <w:rPr>
                <w:rFonts w:ascii="TimesNewRomanPSMT" w:hAnsi="TimesNewRomanPSMT" w:cs="TimesNewRomanPSMT"/>
                <w:sz w:val="20"/>
                <w:szCs w:val="20"/>
                <w:highlight w:val="yellow"/>
              </w:rPr>
              <w:t>Once in a month</w:t>
            </w:r>
          </w:p>
        </w:tc>
        <w:tc>
          <w:tcPr>
            <w:tcW w:w="2790" w:type="dxa"/>
          </w:tcPr>
          <w:p w:rsidR="0071208A" w:rsidRPr="00FE0F27" w:rsidRDefault="0071208A" w:rsidP="00A415D3">
            <w:pPr>
              <w:autoSpaceDE w:val="0"/>
              <w:autoSpaceDN w:val="0"/>
              <w:adjustRightInd w:val="0"/>
              <w:jc w:val="both"/>
              <w:rPr>
                <w:rFonts w:ascii="TimesNewRomanPSMT" w:hAnsi="TimesNewRomanPSMT" w:cs="TimesNewRomanPSMT"/>
                <w:sz w:val="20"/>
                <w:szCs w:val="20"/>
              </w:rPr>
            </w:pPr>
            <w:r w:rsidRPr="00FE0F27">
              <w:rPr>
                <w:rFonts w:ascii="TimesNewRomanPSMT" w:hAnsi="TimesNewRomanPSMT" w:cs="TimesNewRomanPSMT"/>
                <w:sz w:val="20"/>
                <w:szCs w:val="20"/>
              </w:rPr>
              <w:t>GRSS,SPLM-IO,SPLM-FD</w:t>
            </w:r>
          </w:p>
          <w:p w:rsidR="0071208A" w:rsidRPr="00FE0F27" w:rsidRDefault="0071208A" w:rsidP="00A415D3">
            <w:pPr>
              <w:autoSpaceDE w:val="0"/>
              <w:autoSpaceDN w:val="0"/>
              <w:adjustRightInd w:val="0"/>
              <w:jc w:val="both"/>
              <w:rPr>
                <w:rFonts w:ascii="TimesNewRomanPSMT" w:hAnsi="TimesNewRomanPSMT" w:cs="TimesNewRomanPSMT"/>
                <w:sz w:val="20"/>
                <w:szCs w:val="20"/>
              </w:rPr>
            </w:pPr>
            <w:r w:rsidRPr="00FE0F27">
              <w:rPr>
                <w:rFonts w:ascii="TimesNewRomanPSMT" w:hAnsi="TimesNewRomanPSMT" w:cs="TimesNewRomanPSMT"/>
                <w:sz w:val="20"/>
                <w:szCs w:val="20"/>
              </w:rPr>
              <w:t>stakeholders, Ethiopia, Djibouti, Kenya, Somalia,</w:t>
            </w:r>
          </w:p>
          <w:p w:rsidR="0071208A" w:rsidRPr="00FE0F27" w:rsidRDefault="0071208A" w:rsidP="00A415D3">
            <w:pPr>
              <w:autoSpaceDE w:val="0"/>
              <w:autoSpaceDN w:val="0"/>
              <w:adjustRightInd w:val="0"/>
              <w:jc w:val="both"/>
              <w:rPr>
                <w:rFonts w:ascii="TimesNewRomanPSMT" w:hAnsi="TimesNewRomanPSMT" w:cs="TimesNewRomanPSMT"/>
                <w:sz w:val="20"/>
                <w:szCs w:val="20"/>
              </w:rPr>
            </w:pPr>
            <w:r w:rsidRPr="00FE0F27">
              <w:rPr>
                <w:rFonts w:ascii="TimesNewRomanPSMT" w:hAnsi="TimesNewRomanPSMT" w:cs="TimesNewRomanPSMT"/>
                <w:sz w:val="20"/>
                <w:szCs w:val="20"/>
              </w:rPr>
              <w:t>Sudan, Uganda, Five</w:t>
            </w:r>
          </w:p>
          <w:p w:rsidR="0071208A" w:rsidRPr="00FE0F27" w:rsidRDefault="0071208A" w:rsidP="00A415D3">
            <w:pPr>
              <w:autoSpaceDE w:val="0"/>
              <w:autoSpaceDN w:val="0"/>
              <w:adjustRightInd w:val="0"/>
              <w:jc w:val="both"/>
              <w:rPr>
                <w:rFonts w:ascii="TimesNewRomanPSMT" w:hAnsi="TimesNewRomanPSMT" w:cs="TimesNewRomanPSMT"/>
                <w:sz w:val="20"/>
                <w:szCs w:val="20"/>
              </w:rPr>
            </w:pPr>
            <w:r w:rsidRPr="00FE0F27">
              <w:rPr>
                <w:rFonts w:ascii="TimesNewRomanPSMT" w:hAnsi="TimesNewRomanPSMT" w:cs="TimesNewRomanPSMT"/>
                <w:sz w:val="20"/>
                <w:szCs w:val="20"/>
              </w:rPr>
              <w:t>African Regions (1), AUC, China, Norway, UK, US, UN, EU and IPF</w:t>
            </w:r>
          </w:p>
        </w:tc>
        <w:tc>
          <w:tcPr>
            <w:tcW w:w="1800" w:type="dxa"/>
          </w:tcPr>
          <w:p w:rsidR="0071208A" w:rsidRPr="00FE0F27" w:rsidRDefault="00A415D3" w:rsidP="00A415D3">
            <w:pPr>
              <w:jc w:val="both"/>
              <w:rPr>
                <w:b/>
                <w:color w:val="000000" w:themeColor="text1"/>
                <w:sz w:val="20"/>
                <w:szCs w:val="20"/>
              </w:rPr>
            </w:pPr>
            <w:r w:rsidRPr="00FE0F27">
              <w:rPr>
                <w:b/>
                <w:color w:val="000000" w:themeColor="text1"/>
                <w:sz w:val="20"/>
                <w:szCs w:val="20"/>
              </w:rPr>
              <w:t>Expected for 19</w:t>
            </w:r>
            <w:r w:rsidRPr="00FE0F27">
              <w:rPr>
                <w:b/>
                <w:color w:val="000000" w:themeColor="text1"/>
                <w:sz w:val="20"/>
                <w:szCs w:val="20"/>
                <w:vertAlign w:val="superscript"/>
              </w:rPr>
              <w:t>th</w:t>
            </w:r>
            <w:r w:rsidRPr="00FE0F27">
              <w:rPr>
                <w:b/>
                <w:color w:val="000000" w:themeColor="text1"/>
                <w:sz w:val="20"/>
                <w:szCs w:val="20"/>
              </w:rPr>
              <w:t xml:space="preserve"> Nov. 2015 in Juba but delay till </w:t>
            </w:r>
            <w:r w:rsidR="0071208A" w:rsidRPr="00FE0F27">
              <w:rPr>
                <w:b/>
                <w:color w:val="000000" w:themeColor="text1"/>
                <w:sz w:val="20"/>
                <w:szCs w:val="20"/>
              </w:rPr>
              <w:t xml:space="preserve"> </w:t>
            </w:r>
            <w:r w:rsidRPr="00FE0F27">
              <w:rPr>
                <w:b/>
                <w:color w:val="000000" w:themeColor="text1"/>
                <w:sz w:val="20"/>
                <w:szCs w:val="20"/>
              </w:rPr>
              <w:t xml:space="preserve">further notes </w:t>
            </w:r>
          </w:p>
        </w:tc>
        <w:tc>
          <w:tcPr>
            <w:tcW w:w="2160" w:type="dxa"/>
            <w:shd w:val="clear" w:color="auto" w:fill="FFFFFF" w:themeFill="background1"/>
          </w:tcPr>
          <w:p w:rsidR="0071208A" w:rsidRPr="00FE0F27" w:rsidRDefault="00AD2F6C" w:rsidP="00AD2F6C">
            <w:pPr>
              <w:jc w:val="both"/>
              <w:rPr>
                <w:sz w:val="20"/>
                <w:szCs w:val="20"/>
              </w:rPr>
            </w:pPr>
            <w:r>
              <w:rPr>
                <w:sz w:val="20"/>
                <w:szCs w:val="20"/>
              </w:rPr>
              <w:t xml:space="preserve">The livelihood of the planning for the meeting will take long time is high  </w:t>
            </w:r>
          </w:p>
        </w:tc>
        <w:tc>
          <w:tcPr>
            <w:tcW w:w="3150" w:type="dxa"/>
            <w:shd w:val="clear" w:color="auto" w:fill="FFFFFF" w:themeFill="background1"/>
          </w:tcPr>
          <w:p w:rsidR="0071208A" w:rsidRPr="00FE0F27" w:rsidRDefault="00AD2F6C" w:rsidP="00A415D3">
            <w:pPr>
              <w:jc w:val="both"/>
              <w:rPr>
                <w:sz w:val="20"/>
                <w:szCs w:val="20"/>
              </w:rPr>
            </w:pPr>
            <w:r>
              <w:rPr>
                <w:sz w:val="20"/>
                <w:szCs w:val="20"/>
              </w:rPr>
              <w:t xml:space="preserve">IGAD Plus need to employ same pressure for the signing of the peace agreement on the process of the implementation of the agreement </w:t>
            </w:r>
          </w:p>
        </w:tc>
      </w:tr>
    </w:tbl>
    <w:p w:rsidR="00ED4EE3" w:rsidRPr="00FE0F27" w:rsidRDefault="00ED4EE3" w:rsidP="00FE0F27">
      <w:pPr>
        <w:jc w:val="both"/>
        <w:rPr>
          <w:sz w:val="20"/>
          <w:szCs w:val="20"/>
        </w:rPr>
      </w:pPr>
    </w:p>
    <w:sectPr w:rsidR="00ED4EE3" w:rsidRPr="00FE0F27" w:rsidSect="00ED1166">
      <w:footerReference w:type="default" r:id="rId8"/>
      <w:pgSz w:w="15840" w:h="12240" w:orient="landscape"/>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A3B" w:rsidRDefault="00097A3B" w:rsidP="00FE0F27">
      <w:pPr>
        <w:spacing w:after="0" w:line="240" w:lineRule="auto"/>
      </w:pPr>
      <w:r>
        <w:separator/>
      </w:r>
    </w:p>
  </w:endnote>
  <w:endnote w:type="continuationSeparator" w:id="1">
    <w:p w:rsidR="00097A3B" w:rsidRDefault="00097A3B" w:rsidP="00FE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panose1 w:val="020E0602030304020304"/>
    <w:charset w:val="00"/>
    <w:family w:val="swiss"/>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822"/>
      <w:docPartObj>
        <w:docPartGallery w:val="Page Numbers (Bottom of Page)"/>
        <w:docPartUnique/>
      </w:docPartObj>
    </w:sdtPr>
    <w:sdtContent>
      <w:p w:rsidR="00FE0F27" w:rsidRDefault="007A3777">
        <w:pPr>
          <w:pStyle w:val="Footer"/>
          <w:jc w:val="right"/>
        </w:pPr>
        <w:fldSimple w:instr=" PAGE   \* MERGEFORMAT ">
          <w:r w:rsidR="00AD2F6C">
            <w:rPr>
              <w:noProof/>
            </w:rPr>
            <w:t>5</w:t>
          </w:r>
        </w:fldSimple>
      </w:p>
    </w:sdtContent>
  </w:sdt>
  <w:p w:rsidR="00FE0F27" w:rsidRDefault="00FE0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A3B" w:rsidRDefault="00097A3B" w:rsidP="00FE0F27">
      <w:pPr>
        <w:spacing w:after="0" w:line="240" w:lineRule="auto"/>
      </w:pPr>
      <w:r>
        <w:separator/>
      </w:r>
    </w:p>
  </w:footnote>
  <w:footnote w:type="continuationSeparator" w:id="1">
    <w:p w:rsidR="00097A3B" w:rsidRDefault="00097A3B" w:rsidP="00FE0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FA2"/>
    <w:multiLevelType w:val="hybridMultilevel"/>
    <w:tmpl w:val="F162ED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EA0708"/>
    <w:multiLevelType w:val="hybridMultilevel"/>
    <w:tmpl w:val="E618BA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835C97"/>
    <w:multiLevelType w:val="hybridMultilevel"/>
    <w:tmpl w:val="0F52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3315BA"/>
    <w:multiLevelType w:val="hybridMultilevel"/>
    <w:tmpl w:val="4EF458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C7069E"/>
    <w:multiLevelType w:val="hybridMultilevel"/>
    <w:tmpl w:val="291693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8968DF"/>
    <w:multiLevelType w:val="hybridMultilevel"/>
    <w:tmpl w:val="E92866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D719A1"/>
    <w:multiLevelType w:val="hybridMultilevel"/>
    <w:tmpl w:val="8006ED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21377A"/>
    <w:multiLevelType w:val="hybridMultilevel"/>
    <w:tmpl w:val="178E01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57750D"/>
    <w:multiLevelType w:val="hybridMultilevel"/>
    <w:tmpl w:val="72DE0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3"/>
  </w:num>
  <w:num w:numId="6">
    <w:abstractNumId w:val="6"/>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37C3"/>
    <w:rsid w:val="00097A3B"/>
    <w:rsid w:val="000A7393"/>
    <w:rsid w:val="001E3372"/>
    <w:rsid w:val="00201B3D"/>
    <w:rsid w:val="0024290D"/>
    <w:rsid w:val="00283272"/>
    <w:rsid w:val="00291A4E"/>
    <w:rsid w:val="002C5907"/>
    <w:rsid w:val="002D37C3"/>
    <w:rsid w:val="00316F11"/>
    <w:rsid w:val="00464265"/>
    <w:rsid w:val="00574562"/>
    <w:rsid w:val="006034BE"/>
    <w:rsid w:val="0071208A"/>
    <w:rsid w:val="007A3777"/>
    <w:rsid w:val="007B050D"/>
    <w:rsid w:val="00A415D3"/>
    <w:rsid w:val="00A763AE"/>
    <w:rsid w:val="00A83899"/>
    <w:rsid w:val="00AD2F6C"/>
    <w:rsid w:val="00ED1166"/>
    <w:rsid w:val="00ED4EE3"/>
    <w:rsid w:val="00F2461F"/>
    <w:rsid w:val="00F565B3"/>
    <w:rsid w:val="00FA26B5"/>
    <w:rsid w:val="00FA3F46"/>
    <w:rsid w:val="00FA69E7"/>
    <w:rsid w:val="00FE0F27"/>
    <w:rsid w:val="00FF6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3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7C3"/>
  </w:style>
  <w:style w:type="paragraph" w:styleId="Footer">
    <w:name w:val="footer"/>
    <w:basedOn w:val="Normal"/>
    <w:link w:val="FooterChar"/>
    <w:uiPriority w:val="99"/>
    <w:unhideWhenUsed/>
    <w:rsid w:val="002D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7C3"/>
  </w:style>
  <w:style w:type="paragraph" w:styleId="ListParagraph">
    <w:name w:val="List Paragraph"/>
    <w:basedOn w:val="Normal"/>
    <w:uiPriority w:val="34"/>
    <w:qFormat/>
    <w:rsid w:val="002D3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8</cp:revision>
  <dcterms:created xsi:type="dcterms:W3CDTF">2015-11-21T09:10:00Z</dcterms:created>
  <dcterms:modified xsi:type="dcterms:W3CDTF">2015-11-23T17:59:00Z</dcterms:modified>
</cp:coreProperties>
</file>